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00"/>
        <w:jc w:val="center"/>
      </w:pPr>
      <w:r>
        <w:t xml:space="preserve">Saudi Society of Gynecologic Oncology (SSGO)</w:t>
      </w:r>
    </w:p>
    <w:p>
      <w:pPr>
        <w:pStyle w:val="Heading2"/>
        <w:spacing w:after="300"/>
        <w:jc w:val="center"/>
      </w:pPr>
      <w:r>
        <w:t xml:space="preserve">Research Strategy</w:t>
      </w:r>
    </w:p>
    <w:p>
      <w:pPr>
        <w:pStyle w:val="Heading1"/>
        <w:pBdr>
          <w:bottom w:val="single" w:color="1F4E79" w:sz="6" w:space="4"/>
        </w:pBdr>
        <w:spacing w:after="150"/>
      </w:pPr>
      <w:r>
        <w:t xml:space="preserve">Mission</w:t>
      </w:r>
    </w:p>
    <w:p>
      <w:pPr>
        <w:spacing w:after="200"/>
      </w:pPr>
      <w:r>
        <w:t xml:space="preserve">The Saudi Society of Gynecologic Oncology (SSGO) is committed to advancing high-quality, ethical, and collaborative research that improves the prevention, diagnosis, treatment, and outcomes of gynecologic cancers in Saudi Arabia.</w:t>
      </w:r>
    </w:p>
    <w:p>
      <w:pPr>
        <w:spacing w:after="300"/>
      </w:pPr>
      <w:r>
        <w:t xml:space="preserve">SSGO aims to build a strong national research network that connects clinicians, researchers, trainees, and institutions; promotes innovation and evidence-based practice; and generates research that addresses the needs of women with gynecologic cancers in Saudi Arabia and the region.</w:t>
      </w:r>
    </w:p>
    <w:p>
      <w:pPr>
        <w:pStyle w:val="Heading1"/>
        <w:pBdr>
          <w:bottom w:val="single" w:color="1F4E79" w:sz="6" w:space="4"/>
        </w:pBdr>
        <w:spacing w:after="200"/>
      </w:pPr>
      <w:r>
        <w:t xml:space="preserve">Research Objectives</w:t>
      </w:r>
    </w:p>
    <w:p>
      <w:pPr>
        <w:spacing w:after="60" w:before="0"/>
      </w:pPr>
      <w:r>
        <w:rPr>
          <w:b/>
          <w:bCs/>
          <w:color w:val="1F4E79"/>
          <w:sz w:val="24"/>
          <w:szCs w:val="24"/>
        </w:rPr>
        <w:t xml:space="preserve">1. Promote Excellence in Research</w:t>
      </w:r>
    </w:p>
    <w:p>
      <w:pPr>
        <w:pStyle w:val="ListParagraph"/>
        <w:numPr>
          <w:ilvl w:val="0"/>
          <w:numId w:val="2"/>
        </w:numPr>
        <w:spacing w:after="100"/>
      </w:pPr>
      <w:r>
        <w:t xml:space="preserve">Encourage high-quality clinical, epidemiological, translational, and outcomes research across all areas of gynecologic oncology.</w:t>
      </w:r>
    </w:p>
    <w:p>
      <w:pPr>
        <w:spacing w:after="60" w:before="200"/>
      </w:pPr>
      <w:r>
        <w:rPr>
          <w:b/>
          <w:bCs/>
          <w:color w:val="1F4E79"/>
          <w:sz w:val="24"/>
          <w:szCs w:val="24"/>
        </w:rPr>
        <w:t xml:space="preserve">2. Strengthen National Collaboration</w:t>
      </w:r>
    </w:p>
    <w:p>
      <w:pPr>
        <w:pStyle w:val="ListParagraph"/>
        <w:numPr>
          <w:ilvl w:val="0"/>
          <w:numId w:val="2"/>
        </w:numPr>
        <w:spacing w:after="100"/>
      </w:pPr>
      <w:r>
        <w:t xml:space="preserve">Develop a national multicenter research network connecting gynecologic oncology centers and investigators across Saudi Arabia.</w:t>
      </w:r>
    </w:p>
    <w:p>
      <w:pPr>
        <w:spacing w:after="60" w:before="200"/>
      </w:pPr>
      <w:r>
        <w:rPr>
          <w:b/>
          <w:bCs/>
          <w:color w:val="1F4E79"/>
          <w:sz w:val="24"/>
          <w:szCs w:val="24"/>
        </w:rPr>
        <w:t xml:space="preserve">3. Define National Research Priorities</w:t>
      </w:r>
    </w:p>
    <w:p>
      <w:pPr>
        <w:pStyle w:val="ListParagraph"/>
        <w:numPr>
          <w:ilvl w:val="0"/>
          <w:numId w:val="2"/>
        </w:numPr>
        <w:spacing w:after="100"/>
      </w:pPr>
      <w:r>
        <w:t xml:space="preserve">Identify and address important research questions based on the burden, characteristics, and outcomes of gynecologic cancers in Saudi Arabia.</w:t>
      </w:r>
    </w:p>
    <w:p>
      <w:pPr>
        <w:spacing w:after="60" w:before="200"/>
      </w:pPr>
      <w:r>
        <w:rPr>
          <w:b/>
          <w:bCs/>
          <w:color w:val="1F4E79"/>
          <w:sz w:val="24"/>
          <w:szCs w:val="24"/>
        </w:rPr>
        <w:t xml:space="preserve">4. Support Clinical Trials and Innovation</w:t>
      </w:r>
    </w:p>
    <w:p>
      <w:pPr>
        <w:pStyle w:val="ListParagraph"/>
        <w:numPr>
          <w:ilvl w:val="0"/>
          <w:numId w:val="2"/>
        </w:numPr>
        <w:spacing w:after="100"/>
      </w:pPr>
      <w:r>
        <w:t xml:space="preserve">Facilitate participation in national and international clinical trials and encourage innovative and precision-oncology research. Currently, the Society is not able to fund research directly.</w:t>
      </w:r>
    </w:p>
    <w:p>
      <w:pPr>
        <w:spacing w:after="60" w:before="200"/>
      </w:pPr>
      <w:r>
        <w:rPr>
          <w:b/>
          <w:bCs/>
          <w:color w:val="1F4E79"/>
          <w:sz w:val="24"/>
          <w:szCs w:val="24"/>
        </w:rPr>
        <w:t xml:space="preserve">5. Develop Future Researchers</w:t>
      </w:r>
    </w:p>
    <w:p>
      <w:pPr>
        <w:pStyle w:val="ListParagraph"/>
        <w:numPr>
          <w:ilvl w:val="0"/>
          <w:numId w:val="2"/>
        </w:numPr>
        <w:spacing w:after="100"/>
      </w:pPr>
      <w:r>
        <w:t xml:space="preserve">Support residents, fellows, junior specialists, and early-career investigators through mentorship, research education, and opportunities to participate in collaborative studies.</w:t>
      </w:r>
    </w:p>
    <w:p>
      <w:pPr>
        <w:spacing w:after="60" w:before="200"/>
      </w:pPr>
      <w:r>
        <w:rPr>
          <w:b/>
          <w:bCs/>
          <w:color w:val="1F4E79"/>
          <w:sz w:val="24"/>
          <w:szCs w:val="24"/>
        </w:rPr>
        <w:t xml:space="preserve">6. Develop Registries and Real-World Evidence</w:t>
      </w:r>
    </w:p>
    <w:p>
      <w:pPr>
        <w:pStyle w:val="ListParagraph"/>
        <w:numPr>
          <w:ilvl w:val="0"/>
          <w:numId w:val="2"/>
        </w:numPr>
        <w:spacing w:after="100"/>
      </w:pPr>
      <w:r>
        <w:t xml:space="preserve">Encourage the development of national gynecologic cancer registries and collaborative databases to evaluate patterns of care, treatment outcomes, and quality indicators.</w:t>
      </w:r>
    </w:p>
    <w:p>
      <w:pPr>
        <w:spacing w:after="60" w:before="200"/>
      </w:pPr>
      <w:r>
        <w:rPr>
          <w:b/>
          <w:bCs/>
          <w:color w:val="1F4E79"/>
          <w:sz w:val="24"/>
          <w:szCs w:val="24"/>
        </w:rPr>
        <w:t xml:space="preserve">7. Promote Research Integrity</w:t>
      </w:r>
    </w:p>
    <w:p>
      <w:pPr>
        <w:pStyle w:val="ListParagraph"/>
        <w:numPr>
          <w:ilvl w:val="0"/>
          <w:numId w:val="2"/>
        </w:numPr>
        <w:spacing w:after="100"/>
      </w:pPr>
      <w:r>
        <w:t xml:space="preserve">Support ethical, scientifically rigorous, and transparent research in accordance with national regulations and international standards.</w:t>
      </w:r>
    </w:p>
    <w:p>
      <w:pPr>
        <w:spacing w:after="60" w:before="200"/>
      </w:pPr>
      <w:r>
        <w:rPr>
          <w:b/>
          <w:bCs/>
          <w:color w:val="1F4E79"/>
          <w:sz w:val="24"/>
          <w:szCs w:val="24"/>
        </w:rPr>
        <w:t xml:space="preserve">8. Expand Research Partnerships and Impact</w:t>
      </w:r>
    </w:p>
    <w:p>
      <w:pPr>
        <w:pStyle w:val="ListParagraph"/>
        <w:numPr>
          <w:ilvl w:val="0"/>
          <w:numId w:val="2"/>
        </w:numPr>
        <w:spacing w:after="100"/>
      </w:pPr>
      <w:r>
        <w:t xml:space="preserve">Build collaborations with national and international institutions and scientific organizations, and promote the publication and presentation of Saudi gynecologic oncology research.</w:t>
      </w:r>
    </w:p>
    <w:p>
      <w:pPr>
        <w:pStyle w:val="Heading1"/>
        <w:pBdr>
          <w:bottom w:val="single" w:color="1F4E79" w:sz="6" w:space="4"/>
        </w:pBdr>
        <w:spacing w:after="150" w:before="300"/>
      </w:pPr>
      <w:r>
        <w:t xml:space="preserve">Our Vision</w:t>
      </w:r>
    </w:p>
    <w:p>
      <w:pPr>
        <w:pBdr>
          <w:top w:val="single" w:color="1F4E79" w:sz="4" w:space="8"/>
          <w:bottom w:val="single" w:color="1F4E79" w:sz="4" w:space="8"/>
          <w:left w:val="single" w:color="1F4E79" w:sz="4" w:space="8"/>
          <w:right w:val="single" w:color="1F4E79" w:sz="4" w:space="8"/>
        </w:pBdr>
        <w:shd w:fill="EAF1F8" w:val="clear"/>
        <w:spacing w:after="200"/>
      </w:pPr>
      <w:r>
        <w:rPr>
          <w:i/>
          <w:iCs/>
        </w:rPr>
        <w:t xml:space="preserve">To position SSGO as the leading national platform for collaborative gynecologic oncology research, generating evidence that improves cancer care and outcomes for women in Saudi Arabia and contributes to gynecologic oncology knowledge regionally and internationally.</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76"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2026-08-08T14:46:39.187Z</dcterms:created>
  <dcterms:modified xsi:type="dcterms:W3CDTF">2026-08-08T14:46:39.202Z</dcterms:modified>
</cp:coreProperties>
</file>

<file path=docProps/custom.xml><?xml version="1.0" encoding="utf-8"?>
<Properties xmlns="http://schemas.openxmlformats.org/officeDocument/2006/custom-properties" xmlns:vt="http://schemas.openxmlformats.org/officeDocument/2006/docPropsVTypes"/>
</file>