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900"/>
      </w:pPr>
    </w:p>
    <w:p>
      <w:pPr>
        <w:pBdr>
          <w:bottom w:val="single" w:color="B08D3E" w:sz="10" w:space="10"/>
        </w:pBdr>
        <w:jc w:val="center"/>
      </w:pPr>
      <w:r>
        <w:rPr>
          <w:rFonts w:ascii="Calibri" w:cs="Calibri" w:eastAsia="Calibri" w:hAnsi="Calibri"/>
          <w:b/>
          <w:bCs/>
          <w:color w:val="1F4E5F"/>
          <w:sz w:val="44"/>
          <w:szCs w:val="44"/>
        </w:rPr>
        <w:t xml:space="preserve">Saudi Society of Gynecologic Oncology</w:t>
      </w:r>
    </w:p>
    <w:p>
      <w:pPr>
        <w:spacing w:before="160"/>
        <w:jc w:val="center"/>
      </w:pPr>
      <w:r>
        <w:rPr>
          <w:rFonts w:ascii="Calibri" w:cs="Calibri" w:eastAsia="Calibri" w:hAnsi="Calibri"/>
          <w:color w:val="666666"/>
          <w:sz w:val="24"/>
          <w:szCs w:val="24"/>
        </w:rPr>
        <w:t xml:space="preserve">الجمعية السعودية للأورام النسائية</w:t>
      </w:r>
    </w:p>
    <w:p>
      <w:pPr>
        <w:spacing w:before="700"/>
      </w:pPr>
    </w:p>
    <w:p>
      <w:pPr>
        <w:jc w:val="center"/>
      </w:pPr>
      <w:r>
        <w:rPr>
          <w:rFonts w:ascii="Calibri" w:cs="Calibri" w:eastAsia="Calibri" w:hAnsi="Calibri"/>
          <w:b/>
          <w:bCs/>
          <w:color w:val="17394A"/>
          <w:sz w:val="64"/>
          <w:szCs w:val="64"/>
        </w:rPr>
        <w:t xml:space="preserve">Research Policy</w:t>
      </w:r>
    </w:p>
    <w:p>
      <w:pPr>
        <w:spacing w:before="160"/>
        <w:jc w:val="center"/>
      </w:pPr>
      <w:r>
        <w:rPr>
          <w:rFonts w:ascii="Calibri" w:cs="Calibri" w:eastAsia="Calibri" w:hAnsi="Calibri"/>
          <w:i/>
          <w:iCs/>
          <w:color w:val="555555"/>
          <w:sz w:val="26"/>
          <w:szCs w:val="26"/>
        </w:rPr>
        <w:t xml:space="preserve">The Founding Document Governing Research Activity within the Society</w:t>
      </w:r>
    </w:p>
    <w:p>
      <w:pPr>
        <w:spacing w:before="900"/>
      </w:pPr>
    </w:p>
    <w:tbl>
      <w:tblPr>
        <w:tblW w:type="pct" w:w="100%"/>
        <w:tblBorders>
          <w:top w:val="single" w:color="BFD4DC" w:sz="4"/>
          <w:left w:val="single" w:color="BFD4DC" w:sz="4"/>
          <w:bottom w:val="single" w:color="BFD4DC" w:sz="4"/>
          <w:right w:val="single" w:color="BFD4DC" w:sz="4"/>
          <w:insideH w:val="single" w:color="BFD4DC" w:sz="4"/>
          <w:insideV w:val="single" w:color="BFD4DC" w:sz="4"/>
        </w:tblBorders>
      </w:tblPr>
      <w:tblGrid>
        <w:gridCol w:w="2600"/>
        <w:gridCol w:w="7000"/>
      </w:tblGrid>
      <w:tr>
        <w:tc>
          <w:tcPr>
            <w:tcW w:type="dxa" w:w="2600"/>
            <w:shd w:fill="E8F1F5" w:val="clear"/>
            <w:tcMar>
              <w:top w:type="dxa" w:w="100"/>
              <w:left w:type="dxa" w:w="150"/>
              <w:bottom w:type="dxa" w:w="100"/>
              <w:right w:type="dxa" w:w="150"/>
            </w:tcMar>
            <w:vAlign w:val="center"/>
          </w:tcPr>
          <w:p>
            <w:pPr>
              <w:jc w:val="left"/>
            </w:pPr>
            <w:r>
              <w:rPr>
                <w:rFonts w:ascii="Calibri" w:cs="Calibri" w:eastAsia="Calibri" w:hAnsi="Calibri"/>
                <w:b/>
                <w:bCs/>
                <w:color w:val="17394A"/>
                <w:sz w:val="20"/>
                <w:szCs w:val="20"/>
              </w:rPr>
              <w:t xml:space="preserve">Document Type</w:t>
            </w:r>
          </w:p>
        </w:tc>
        <w:tc>
          <w:tcPr>
            <w:tcW w:type="dxa" w:w="7000"/>
            <w:tcMar>
              <w:top w:type="dxa" w:w="100"/>
              <w:left w:type="dxa" w:w="150"/>
              <w:bottom w:type="dxa" w:w="100"/>
              <w:right w:type="dxa" w:w="150"/>
            </w:tcMar>
            <w:vAlign w:val="center"/>
          </w:tcPr>
          <w:p>
            <w:pPr>
              <w:jc w:val="left"/>
            </w:pPr>
            <w:r>
              <w:rPr>
                <w:rFonts w:ascii="Calibri" w:cs="Calibri" w:eastAsia="Calibri" w:hAnsi="Calibri"/>
                <w:sz w:val="20"/>
                <w:szCs w:val="20"/>
              </w:rPr>
              <w:t xml:space="preserve">Founding Research Policy</w:t>
            </w:r>
          </w:p>
        </w:tc>
      </w:tr>
      <w:tr>
        <w:tc>
          <w:tcPr>
            <w:tcW w:type="dxa" w:w="2600"/>
            <w:shd w:fill="E8F1F5" w:val="clear"/>
            <w:tcMar>
              <w:top w:type="dxa" w:w="100"/>
              <w:left w:type="dxa" w:w="150"/>
              <w:bottom w:type="dxa" w:w="100"/>
              <w:right w:type="dxa" w:w="150"/>
            </w:tcMar>
            <w:vAlign w:val="center"/>
          </w:tcPr>
          <w:p>
            <w:pPr>
              <w:jc w:val="left"/>
            </w:pPr>
            <w:r>
              <w:rPr>
                <w:rFonts w:ascii="Calibri" w:cs="Calibri" w:eastAsia="Calibri" w:hAnsi="Calibri"/>
                <w:b/>
                <w:bCs/>
                <w:color w:val="17394A"/>
                <w:sz w:val="20"/>
                <w:szCs w:val="20"/>
              </w:rPr>
              <w:t xml:space="preserve">Issuing Body</w:t>
            </w:r>
          </w:p>
        </w:tc>
        <w:tc>
          <w:tcPr>
            <w:tcW w:type="dxa" w:w="7000"/>
            <w:tcMar>
              <w:top w:type="dxa" w:w="100"/>
              <w:left w:type="dxa" w:w="150"/>
              <w:bottom w:type="dxa" w:w="100"/>
              <w:right w:type="dxa" w:w="150"/>
            </w:tcMar>
            <w:vAlign w:val="center"/>
          </w:tcPr>
          <w:p>
            <w:pPr>
              <w:jc w:val="left"/>
            </w:pPr>
            <w:r>
              <w:rPr>
                <w:rFonts w:ascii="Calibri" w:cs="Calibri" w:eastAsia="Calibri" w:hAnsi="Calibri"/>
                <w:sz w:val="20"/>
                <w:szCs w:val="20"/>
              </w:rPr>
              <w:t xml:space="preserve">Scientific Committee / Research Committee of the Society</w:t>
            </w:r>
          </w:p>
        </w:tc>
      </w:tr>
      <w:tr>
        <w:tc>
          <w:tcPr>
            <w:tcW w:type="dxa" w:w="2600"/>
            <w:shd w:fill="E8F1F5" w:val="clear"/>
            <w:tcMar>
              <w:top w:type="dxa" w:w="100"/>
              <w:left w:type="dxa" w:w="150"/>
              <w:bottom w:type="dxa" w:w="100"/>
              <w:right w:type="dxa" w:w="150"/>
            </w:tcMar>
            <w:vAlign w:val="center"/>
          </w:tcPr>
          <w:p>
            <w:pPr>
              <w:jc w:val="left"/>
            </w:pPr>
            <w:r>
              <w:rPr>
                <w:rFonts w:ascii="Calibri" w:cs="Calibri" w:eastAsia="Calibri" w:hAnsi="Calibri"/>
                <w:b/>
                <w:bCs/>
                <w:color w:val="17394A"/>
                <w:sz w:val="20"/>
                <w:szCs w:val="20"/>
              </w:rPr>
              <w:t xml:space="preserve">Version Number</w:t>
            </w:r>
          </w:p>
        </w:tc>
        <w:tc>
          <w:tcPr>
            <w:tcW w:type="dxa" w:w="7000"/>
            <w:tcMar>
              <w:top w:type="dxa" w:w="100"/>
              <w:left w:type="dxa" w:w="150"/>
              <w:bottom w:type="dxa" w:w="100"/>
              <w:right w:type="dxa" w:w="150"/>
            </w:tcMar>
            <w:vAlign w:val="center"/>
          </w:tcPr>
          <w:p>
            <w:pPr>
              <w:jc w:val="left"/>
            </w:pPr>
            <w:r>
              <w:rPr>
                <w:rFonts w:ascii="Calibri" w:cs="Calibri" w:eastAsia="Calibri" w:hAnsi="Calibri"/>
                <w:sz w:val="20"/>
                <w:szCs w:val="20"/>
              </w:rPr>
              <w:t xml:space="preserve">First Edition (1.0)</w:t>
            </w:r>
          </w:p>
        </w:tc>
      </w:tr>
      <w:tr>
        <w:tc>
          <w:tcPr>
            <w:tcW w:type="dxa" w:w="2600"/>
            <w:shd w:fill="E8F1F5" w:val="clear"/>
            <w:tcMar>
              <w:top w:type="dxa" w:w="100"/>
              <w:left w:type="dxa" w:w="150"/>
              <w:bottom w:type="dxa" w:w="100"/>
              <w:right w:type="dxa" w:w="150"/>
            </w:tcMar>
            <w:vAlign w:val="center"/>
          </w:tcPr>
          <w:p>
            <w:pPr>
              <w:jc w:val="left"/>
            </w:pPr>
            <w:r>
              <w:rPr>
                <w:rFonts w:ascii="Calibri" w:cs="Calibri" w:eastAsia="Calibri" w:hAnsi="Calibri"/>
                <w:b/>
                <w:bCs/>
                <w:color w:val="17394A"/>
                <w:sz w:val="20"/>
                <w:szCs w:val="20"/>
              </w:rPr>
              <w:t xml:space="preserve">Issue Date</w:t>
            </w:r>
          </w:p>
        </w:tc>
        <w:tc>
          <w:tcPr>
            <w:tcW w:type="dxa" w:w="7000"/>
            <w:tcMar>
              <w:top w:type="dxa" w:w="100"/>
              <w:left w:type="dxa" w:w="150"/>
              <w:bottom w:type="dxa" w:w="100"/>
              <w:right w:type="dxa" w:w="150"/>
            </w:tcMar>
            <w:vAlign w:val="center"/>
          </w:tcPr>
          <w:p>
            <w:pPr>
              <w:jc w:val="left"/>
            </w:pPr>
            <w:r>
              <w:rPr>
                <w:rFonts w:ascii="Calibri" w:cs="Calibri" w:eastAsia="Calibri" w:hAnsi="Calibri"/>
                <w:sz w:val="20"/>
                <w:szCs w:val="20"/>
              </w:rPr>
              <w:t xml:space="preserve">To be completed upon approval by the Board of Directors</w:t>
            </w:r>
          </w:p>
        </w:tc>
      </w:tr>
      <w:tr>
        <w:tc>
          <w:tcPr>
            <w:tcW w:type="dxa" w:w="2600"/>
            <w:shd w:fill="E8F1F5" w:val="clear"/>
            <w:tcMar>
              <w:top w:type="dxa" w:w="100"/>
              <w:left w:type="dxa" w:w="150"/>
              <w:bottom w:type="dxa" w:w="100"/>
              <w:right w:type="dxa" w:w="150"/>
            </w:tcMar>
            <w:vAlign w:val="center"/>
          </w:tcPr>
          <w:p>
            <w:pPr>
              <w:jc w:val="left"/>
            </w:pPr>
            <w:r>
              <w:rPr>
                <w:rFonts w:ascii="Calibri" w:cs="Calibri" w:eastAsia="Calibri" w:hAnsi="Calibri"/>
                <w:b/>
                <w:bCs/>
                <w:color w:val="17394A"/>
                <w:sz w:val="20"/>
                <w:szCs w:val="20"/>
              </w:rPr>
              <w:t xml:space="preserve">Approving Authority</w:t>
            </w:r>
          </w:p>
        </w:tc>
        <w:tc>
          <w:tcPr>
            <w:tcW w:type="dxa" w:w="7000"/>
            <w:tcMar>
              <w:top w:type="dxa" w:w="100"/>
              <w:left w:type="dxa" w:w="150"/>
              <w:bottom w:type="dxa" w:w="100"/>
              <w:right w:type="dxa" w:w="150"/>
            </w:tcMar>
            <w:vAlign w:val="center"/>
          </w:tcPr>
          <w:p>
            <w:pPr>
              <w:jc w:val="left"/>
            </w:pPr>
            <w:r>
              <w:rPr>
                <w:rFonts w:ascii="Calibri" w:cs="Calibri" w:eastAsia="Calibri" w:hAnsi="Calibri"/>
                <w:sz w:val="20"/>
                <w:szCs w:val="20"/>
              </w:rPr>
              <w:t xml:space="preserve">Board of Directors, Saudi Society of Gynecologic Oncology</w:t>
            </w:r>
          </w:p>
        </w:tc>
      </w:tr>
      <w:tr>
        <w:tc>
          <w:tcPr>
            <w:tcW w:type="dxa" w:w="2600"/>
            <w:shd w:fill="E8F1F5" w:val="clear"/>
            <w:tcMar>
              <w:top w:type="dxa" w:w="100"/>
              <w:left w:type="dxa" w:w="150"/>
              <w:bottom w:type="dxa" w:w="100"/>
              <w:right w:type="dxa" w:w="150"/>
            </w:tcMar>
            <w:vAlign w:val="center"/>
          </w:tcPr>
          <w:p>
            <w:pPr>
              <w:jc w:val="left"/>
            </w:pPr>
            <w:r>
              <w:rPr>
                <w:rFonts w:ascii="Calibri" w:cs="Calibri" w:eastAsia="Calibri" w:hAnsi="Calibri"/>
                <w:b/>
                <w:bCs/>
                <w:color w:val="17394A"/>
                <w:sz w:val="20"/>
                <w:szCs w:val="20"/>
              </w:rPr>
              <w:t xml:space="preserve">Review Cycle</w:t>
            </w:r>
          </w:p>
        </w:tc>
        <w:tc>
          <w:tcPr>
            <w:tcW w:type="dxa" w:w="7000"/>
            <w:tcMar>
              <w:top w:type="dxa" w:w="100"/>
              <w:left w:type="dxa" w:w="150"/>
              <w:bottom w:type="dxa" w:w="100"/>
              <w:right w:type="dxa" w:w="150"/>
            </w:tcMar>
            <w:vAlign w:val="center"/>
          </w:tcPr>
          <w:p>
            <w:pPr>
              <w:jc w:val="left"/>
            </w:pPr>
            <w:r>
              <w:rPr>
                <w:rFonts w:ascii="Calibri" w:cs="Calibri" w:eastAsia="Calibri" w:hAnsi="Calibri"/>
                <w:sz w:val="20"/>
                <w:szCs w:val="20"/>
              </w:rPr>
              <w:t xml:space="preserve">Every three years, or as needed</w:t>
            </w:r>
          </w:p>
        </w:tc>
      </w:tr>
    </w:tbl>
    <w:p>
      <w:r>
        <w:br w:type="page"/>
      </w:r>
    </w:p>
    <w:p>
      <w:pPr>
        <w:pBdr>
          <w:bottom w:val="single" w:color="B08D3E" w:sz="8" w:space="6"/>
        </w:pBdr>
        <w:spacing w:after="300"/>
        <w:jc w:val="left"/>
      </w:pPr>
      <w:r>
        <w:rPr>
          <w:rFonts w:ascii="Calibri" w:cs="Calibri" w:eastAsia="Calibri" w:hAnsi="Calibri"/>
          <w:b/>
          <w:bCs/>
          <w:color w:val="1F4E5F"/>
          <w:sz w:val="32"/>
          <w:szCs w:val="32"/>
        </w:rPr>
        <w:t xml:space="preserve">Table of Contents</w:t>
      </w:r>
    </w:p>
    <w:p>
      <w:pPr>
        <w:tabs>
          <w:tab w:val="right" w:pos="9026" w:leader="dot"/>
        </w:tabs>
        <w:spacing w:after="140"/>
      </w:pPr>
      <w:hyperlink w:history="1" w:anchor="sec1000">
        <w:r>
          <w:rPr>
            <w:rFonts w:ascii="Calibri" w:cs="Calibri" w:eastAsia="Calibri" w:hAnsi="Calibri"/>
            <w:b/>
            <w:bCs/>
            <w:color w:val="17394A"/>
            <w:sz w:val="22"/>
            <w:szCs w:val="22"/>
          </w:rPr>
          <w:t xml:space="preserve">1. Introduction</w:t>
        </w:r>
        <w:r>
          <w:rPr>
            <w:rFonts w:ascii="Calibri" w:cs="Calibri" w:eastAsia="Calibri" w:hAnsi="Calibri"/>
            <w:b/>
            <w:bCs/>
            <w:color w:val="17394A"/>
            <w:sz w:val="22"/>
            <w:szCs w:val="22"/>
          </w:rPr>
          <w:t xml:space="preserve">	3</w:t>
        </w:r>
      </w:hyperlink>
    </w:p>
    <w:p>
      <w:pPr>
        <w:tabs>
          <w:tab w:val="right" w:pos="9026" w:leader="dot"/>
        </w:tabs>
        <w:spacing w:after="140"/>
      </w:pPr>
      <w:hyperlink w:history="1" w:anchor="sec1001">
        <w:r>
          <w:rPr>
            <w:rFonts w:ascii="Calibri" w:cs="Calibri" w:eastAsia="Calibri" w:hAnsi="Calibri"/>
            <w:b/>
            <w:bCs/>
            <w:color w:val="17394A"/>
            <w:sz w:val="22"/>
            <w:szCs w:val="22"/>
          </w:rPr>
          <w:t xml:space="preserve">2. Objectives</w:t>
        </w:r>
        <w:r>
          <w:rPr>
            <w:rFonts w:ascii="Calibri" w:cs="Calibri" w:eastAsia="Calibri" w:hAnsi="Calibri"/>
            <w:b/>
            <w:bCs/>
            <w:color w:val="17394A"/>
            <w:sz w:val="22"/>
            <w:szCs w:val="22"/>
          </w:rPr>
          <w:t xml:space="preserve">	3</w:t>
        </w:r>
      </w:hyperlink>
    </w:p>
    <w:p>
      <w:pPr>
        <w:tabs>
          <w:tab w:val="right" w:pos="9026" w:leader="dot"/>
        </w:tabs>
        <w:spacing w:after="140"/>
      </w:pPr>
      <w:hyperlink w:history="1" w:anchor="sec1002">
        <w:r>
          <w:rPr>
            <w:rFonts w:ascii="Calibri" w:cs="Calibri" w:eastAsia="Calibri" w:hAnsi="Calibri"/>
            <w:b/>
            <w:bCs/>
            <w:color w:val="17394A"/>
            <w:sz w:val="22"/>
            <w:szCs w:val="22"/>
          </w:rPr>
          <w:t xml:space="preserve">3. Scope of Application</w:t>
        </w:r>
        <w:r>
          <w:rPr>
            <w:rFonts w:ascii="Calibri" w:cs="Calibri" w:eastAsia="Calibri" w:hAnsi="Calibri"/>
            <w:b/>
            <w:bCs/>
            <w:color w:val="17394A"/>
            <w:sz w:val="22"/>
            <w:szCs w:val="22"/>
          </w:rPr>
          <w:t xml:space="preserve">	3</w:t>
        </w:r>
      </w:hyperlink>
    </w:p>
    <w:p>
      <w:pPr>
        <w:tabs>
          <w:tab w:val="right" w:pos="9026" w:leader="dot"/>
        </w:tabs>
        <w:spacing w:after="140"/>
      </w:pPr>
      <w:hyperlink w:history="1" w:anchor="sec1003">
        <w:r>
          <w:rPr>
            <w:rFonts w:ascii="Calibri" w:cs="Calibri" w:eastAsia="Calibri" w:hAnsi="Calibri"/>
            <w:b/>
            <w:bCs/>
            <w:color w:val="17394A"/>
            <w:sz w:val="22"/>
            <w:szCs w:val="22"/>
          </w:rPr>
          <w:t xml:space="preserve">4. Definitions</w:t>
        </w:r>
        <w:r>
          <w:rPr>
            <w:rFonts w:ascii="Calibri" w:cs="Calibri" w:eastAsia="Calibri" w:hAnsi="Calibri"/>
            <w:b/>
            <w:bCs/>
            <w:color w:val="17394A"/>
            <w:sz w:val="22"/>
            <w:szCs w:val="22"/>
          </w:rPr>
          <w:t xml:space="preserve">	4</w:t>
        </w:r>
      </w:hyperlink>
    </w:p>
    <w:p>
      <w:pPr>
        <w:tabs>
          <w:tab w:val="right" w:pos="9026" w:leader="dot"/>
        </w:tabs>
        <w:spacing w:after="140"/>
      </w:pPr>
      <w:hyperlink w:history="1" w:anchor="sec1004">
        <w:r>
          <w:rPr>
            <w:rFonts w:ascii="Calibri" w:cs="Calibri" w:eastAsia="Calibri" w:hAnsi="Calibri"/>
            <w:b/>
            <w:bCs/>
            <w:color w:val="17394A"/>
            <w:sz w:val="22"/>
            <w:szCs w:val="22"/>
          </w:rPr>
          <w:t xml:space="preserve">5. Research Governance</w:t>
        </w:r>
        <w:r>
          <w:rPr>
            <w:rFonts w:ascii="Calibri" w:cs="Calibri" w:eastAsia="Calibri" w:hAnsi="Calibri"/>
            <w:b/>
            <w:bCs/>
            <w:color w:val="17394A"/>
            <w:sz w:val="22"/>
            <w:szCs w:val="22"/>
          </w:rPr>
          <w:t xml:space="preserve">	4</w:t>
        </w:r>
      </w:hyperlink>
    </w:p>
    <w:p>
      <w:pPr>
        <w:tabs>
          <w:tab w:val="right" w:pos="9026" w:leader="dot"/>
        </w:tabs>
        <w:spacing w:after="90"/>
        <w:ind w:left="360"/>
      </w:pPr>
      <w:hyperlink w:history="1" w:anchor="sec1005">
        <w:r>
          <w:rPr>
            <w:rFonts w:ascii="Calibri" w:cs="Calibri" w:eastAsia="Calibri" w:hAnsi="Calibri"/>
            <w:b w:val="false"/>
            <w:bCs w:val="false"/>
            <w:color w:val="333333"/>
            <w:sz w:val="20"/>
            <w:szCs w:val="20"/>
          </w:rPr>
          <w:t xml:space="preserve">5.1 Scientific Committee / Research Committee</w:t>
        </w:r>
        <w:r>
          <w:rPr>
            <w:rFonts w:ascii="Calibri" w:cs="Calibri" w:eastAsia="Calibri" w:hAnsi="Calibri"/>
            <w:b w:val="false"/>
            <w:bCs w:val="false"/>
            <w:color w:val="333333"/>
            <w:sz w:val="20"/>
            <w:szCs w:val="20"/>
          </w:rPr>
          <w:t xml:space="preserve">	</w:t>
        </w:r>
      </w:hyperlink>
    </w:p>
    <w:p>
      <w:pPr>
        <w:tabs>
          <w:tab w:val="right" w:pos="9026" w:leader="dot"/>
        </w:tabs>
        <w:spacing w:after="90"/>
        <w:ind w:left="360"/>
      </w:pPr>
      <w:hyperlink w:history="1" w:anchor="sec1006">
        <w:r>
          <w:rPr>
            <w:rFonts w:ascii="Calibri" w:cs="Calibri" w:eastAsia="Calibri" w:hAnsi="Calibri"/>
            <w:b w:val="false"/>
            <w:bCs w:val="false"/>
            <w:color w:val="333333"/>
            <w:sz w:val="20"/>
            <w:szCs w:val="20"/>
          </w:rPr>
          <w:t xml:space="preserve">5.2 Board of Directors</w:t>
        </w:r>
        <w:r>
          <w:rPr>
            <w:rFonts w:ascii="Calibri" w:cs="Calibri" w:eastAsia="Calibri" w:hAnsi="Calibri"/>
            <w:b w:val="false"/>
            <w:bCs w:val="false"/>
            <w:color w:val="333333"/>
            <w:sz w:val="20"/>
            <w:szCs w:val="20"/>
          </w:rPr>
          <w:t xml:space="preserve">	</w:t>
        </w:r>
      </w:hyperlink>
    </w:p>
    <w:p>
      <w:pPr>
        <w:tabs>
          <w:tab w:val="right" w:pos="9026" w:leader="dot"/>
        </w:tabs>
        <w:spacing w:after="90"/>
        <w:ind w:left="360"/>
      </w:pPr>
      <w:hyperlink w:history="1" w:anchor="sec1007">
        <w:r>
          <w:rPr>
            <w:rFonts w:ascii="Calibri" w:cs="Calibri" w:eastAsia="Calibri" w:hAnsi="Calibri"/>
            <w:b w:val="false"/>
            <w:bCs w:val="false"/>
            <w:color w:val="333333"/>
            <w:sz w:val="20"/>
            <w:szCs w:val="20"/>
          </w:rPr>
          <w:t xml:space="preserve">5.3 Principal Investigator</w:t>
        </w:r>
        <w:r>
          <w:rPr>
            <w:rFonts w:ascii="Calibri" w:cs="Calibri" w:eastAsia="Calibri" w:hAnsi="Calibri"/>
            <w:b w:val="false"/>
            <w:bCs w:val="false"/>
            <w:color w:val="333333"/>
            <w:sz w:val="20"/>
            <w:szCs w:val="20"/>
          </w:rPr>
          <w:t xml:space="preserve">	</w:t>
        </w:r>
      </w:hyperlink>
    </w:p>
    <w:p>
      <w:pPr>
        <w:tabs>
          <w:tab w:val="right" w:pos="9026" w:leader="dot"/>
        </w:tabs>
        <w:spacing w:after="140"/>
      </w:pPr>
      <w:hyperlink w:history="1" w:anchor="sec1008">
        <w:r>
          <w:rPr>
            <w:rFonts w:ascii="Calibri" w:cs="Calibri" w:eastAsia="Calibri" w:hAnsi="Calibri"/>
            <w:b/>
            <w:bCs/>
            <w:color w:val="17394A"/>
            <w:sz w:val="22"/>
            <w:szCs w:val="22"/>
          </w:rPr>
          <w:t xml:space="preserve">6. Strategic Research Priorities</w:t>
        </w:r>
        <w:r>
          <w:rPr>
            <w:rFonts w:ascii="Calibri" w:cs="Calibri" w:eastAsia="Calibri" w:hAnsi="Calibri"/>
            <w:b/>
            <w:bCs/>
            <w:color w:val="17394A"/>
            <w:sz w:val="22"/>
            <w:szCs w:val="22"/>
          </w:rPr>
          <w:t xml:space="preserve">	5</w:t>
        </w:r>
      </w:hyperlink>
    </w:p>
    <w:p>
      <w:pPr>
        <w:tabs>
          <w:tab w:val="right" w:pos="9026" w:leader="dot"/>
        </w:tabs>
        <w:spacing w:after="140"/>
      </w:pPr>
      <w:hyperlink w:history="1" w:anchor="sec1009">
        <w:r>
          <w:rPr>
            <w:rFonts w:ascii="Calibri" w:cs="Calibri" w:eastAsia="Calibri" w:hAnsi="Calibri"/>
            <w:b/>
            <w:bCs/>
            <w:color w:val="17394A"/>
            <w:sz w:val="22"/>
            <w:szCs w:val="22"/>
          </w:rPr>
          <w:t xml:space="preserve">7. Research Ethics</w:t>
        </w:r>
        <w:r>
          <w:rPr>
            <w:rFonts w:ascii="Calibri" w:cs="Calibri" w:eastAsia="Calibri" w:hAnsi="Calibri"/>
            <w:b/>
            <w:bCs/>
            <w:color w:val="17394A"/>
            <w:sz w:val="22"/>
            <w:szCs w:val="22"/>
          </w:rPr>
          <w:t xml:space="preserve">	5</w:t>
        </w:r>
      </w:hyperlink>
    </w:p>
    <w:p>
      <w:pPr>
        <w:tabs>
          <w:tab w:val="right" w:pos="9026" w:leader="dot"/>
        </w:tabs>
        <w:spacing w:after="140"/>
      </w:pPr>
      <w:hyperlink w:history="1" w:anchor="sec1010">
        <w:r>
          <w:rPr>
            <w:rFonts w:ascii="Calibri" w:cs="Calibri" w:eastAsia="Calibri" w:hAnsi="Calibri"/>
            <w:b/>
            <w:bCs/>
            <w:color w:val="17394A"/>
            <w:sz w:val="22"/>
            <w:szCs w:val="22"/>
          </w:rPr>
          <w:t xml:space="preserve">8. Conflict of Interest</w:t>
        </w:r>
        <w:r>
          <w:rPr>
            <w:rFonts w:ascii="Calibri" w:cs="Calibri" w:eastAsia="Calibri" w:hAnsi="Calibri"/>
            <w:b/>
            <w:bCs/>
            <w:color w:val="17394A"/>
            <w:sz w:val="22"/>
            <w:szCs w:val="22"/>
          </w:rPr>
          <w:t xml:space="preserve">	6</w:t>
        </w:r>
      </w:hyperlink>
    </w:p>
    <w:p>
      <w:pPr>
        <w:tabs>
          <w:tab w:val="right" w:pos="9026" w:leader="dot"/>
        </w:tabs>
        <w:spacing w:after="140"/>
      </w:pPr>
      <w:hyperlink w:history="1" w:anchor="sec1011">
        <w:r>
          <w:rPr>
            <w:rFonts w:ascii="Calibri" w:cs="Calibri" w:eastAsia="Calibri" w:hAnsi="Calibri"/>
            <w:b/>
            <w:bCs/>
            <w:color w:val="17394A"/>
            <w:sz w:val="22"/>
            <w:szCs w:val="22"/>
          </w:rPr>
          <w:t xml:space="preserve">9. Authorship and Publication Policy</w:t>
        </w:r>
        <w:r>
          <w:rPr>
            <w:rFonts w:ascii="Calibri" w:cs="Calibri" w:eastAsia="Calibri" w:hAnsi="Calibri"/>
            <w:b/>
            <w:bCs/>
            <w:color w:val="17394A"/>
            <w:sz w:val="22"/>
            <w:szCs w:val="22"/>
          </w:rPr>
          <w:t xml:space="preserve">	6</w:t>
        </w:r>
      </w:hyperlink>
    </w:p>
    <w:p>
      <w:pPr>
        <w:tabs>
          <w:tab w:val="right" w:pos="9026" w:leader="dot"/>
        </w:tabs>
        <w:spacing w:after="140"/>
      </w:pPr>
      <w:hyperlink w:history="1" w:anchor="sec1012">
        <w:r>
          <w:rPr>
            <w:rFonts w:ascii="Calibri" w:cs="Calibri" w:eastAsia="Calibri" w:hAnsi="Calibri"/>
            <w:b/>
            <w:bCs/>
            <w:color w:val="17394A"/>
            <w:sz w:val="22"/>
            <w:szCs w:val="22"/>
          </w:rPr>
          <w:t xml:space="preserve">10. Research Integrity and Prevention of Research Misconduct</w:t>
        </w:r>
        <w:r>
          <w:rPr>
            <w:rFonts w:ascii="Calibri" w:cs="Calibri" w:eastAsia="Calibri" w:hAnsi="Calibri"/>
            <w:b/>
            <w:bCs/>
            <w:color w:val="17394A"/>
            <w:sz w:val="22"/>
            <w:szCs w:val="22"/>
          </w:rPr>
          <w:t xml:space="preserve">	6</w:t>
        </w:r>
      </w:hyperlink>
    </w:p>
    <w:p>
      <w:pPr>
        <w:tabs>
          <w:tab w:val="right" w:pos="9026" w:leader="dot"/>
        </w:tabs>
        <w:spacing w:after="140"/>
      </w:pPr>
      <w:hyperlink w:history="1" w:anchor="sec1013">
        <w:r>
          <w:rPr>
            <w:rFonts w:ascii="Calibri" w:cs="Calibri" w:eastAsia="Calibri" w:hAnsi="Calibri"/>
            <w:b/>
            <w:bCs/>
            <w:color w:val="17394A"/>
            <w:sz w:val="22"/>
            <w:szCs w:val="22"/>
          </w:rPr>
          <w:t xml:space="preserve">11. Data Management and Privacy Protection</w:t>
        </w:r>
        <w:r>
          <w:rPr>
            <w:rFonts w:ascii="Calibri" w:cs="Calibri" w:eastAsia="Calibri" w:hAnsi="Calibri"/>
            <w:b/>
            <w:bCs/>
            <w:color w:val="17394A"/>
            <w:sz w:val="22"/>
            <w:szCs w:val="22"/>
          </w:rPr>
          <w:t xml:space="preserve">	7</w:t>
        </w:r>
      </w:hyperlink>
    </w:p>
    <w:p>
      <w:pPr>
        <w:tabs>
          <w:tab w:val="right" w:pos="9026" w:leader="dot"/>
        </w:tabs>
        <w:spacing w:after="140"/>
      </w:pPr>
      <w:hyperlink w:history="1" w:anchor="sec1014">
        <w:r>
          <w:rPr>
            <w:rFonts w:ascii="Calibri" w:cs="Calibri" w:eastAsia="Calibri" w:hAnsi="Calibri"/>
            <w:b/>
            <w:bCs/>
            <w:color w:val="17394A"/>
            <w:sz w:val="22"/>
            <w:szCs w:val="22"/>
          </w:rPr>
          <w:t xml:space="preserve">12. Funding and Research Grants</w:t>
        </w:r>
        <w:r>
          <w:rPr>
            <w:rFonts w:ascii="Calibri" w:cs="Calibri" w:eastAsia="Calibri" w:hAnsi="Calibri"/>
            <w:b/>
            <w:bCs/>
            <w:color w:val="17394A"/>
            <w:sz w:val="22"/>
            <w:szCs w:val="22"/>
          </w:rPr>
          <w:t xml:space="preserve">	7</w:t>
        </w:r>
      </w:hyperlink>
    </w:p>
    <w:p>
      <w:pPr>
        <w:tabs>
          <w:tab w:val="right" w:pos="9026" w:leader="dot"/>
        </w:tabs>
        <w:spacing w:after="140"/>
      </w:pPr>
      <w:hyperlink w:history="1" w:anchor="sec1015">
        <w:r>
          <w:rPr>
            <w:rFonts w:ascii="Calibri" w:cs="Calibri" w:eastAsia="Calibri" w:hAnsi="Calibri"/>
            <w:b/>
            <w:bCs/>
            <w:color w:val="17394A"/>
            <w:sz w:val="22"/>
            <w:szCs w:val="22"/>
          </w:rPr>
          <w:t xml:space="preserve">13. Intellectual Property</w:t>
        </w:r>
        <w:r>
          <w:rPr>
            <w:rFonts w:ascii="Calibri" w:cs="Calibri" w:eastAsia="Calibri" w:hAnsi="Calibri"/>
            <w:b/>
            <w:bCs/>
            <w:color w:val="17394A"/>
            <w:sz w:val="22"/>
            <w:szCs w:val="22"/>
          </w:rPr>
          <w:t xml:space="preserve">	7</w:t>
        </w:r>
      </w:hyperlink>
    </w:p>
    <w:p>
      <w:pPr>
        <w:tabs>
          <w:tab w:val="right" w:pos="9026" w:leader="dot"/>
        </w:tabs>
        <w:spacing w:after="140"/>
      </w:pPr>
      <w:hyperlink w:history="1" w:anchor="sec1016">
        <w:r>
          <w:rPr>
            <w:rFonts w:ascii="Calibri" w:cs="Calibri" w:eastAsia="Calibri" w:hAnsi="Calibri"/>
            <w:b/>
            <w:bCs/>
            <w:color w:val="17394A"/>
            <w:sz w:val="22"/>
            <w:szCs w:val="22"/>
          </w:rPr>
          <w:t xml:space="preserve">14. Local and International Research Collaboration</w:t>
        </w:r>
        <w:r>
          <w:rPr>
            <w:rFonts w:ascii="Calibri" w:cs="Calibri" w:eastAsia="Calibri" w:hAnsi="Calibri"/>
            <w:b/>
            <w:bCs/>
            <w:color w:val="17394A"/>
            <w:sz w:val="22"/>
            <w:szCs w:val="22"/>
          </w:rPr>
          <w:t xml:space="preserve">	7</w:t>
        </w:r>
      </w:hyperlink>
    </w:p>
    <w:p>
      <w:pPr>
        <w:tabs>
          <w:tab w:val="right" w:pos="9026" w:leader="dot"/>
        </w:tabs>
        <w:spacing w:after="140"/>
      </w:pPr>
      <w:hyperlink w:history="1" w:anchor="sec1017">
        <w:r>
          <w:rPr>
            <w:rFonts w:ascii="Calibri" w:cs="Calibri" w:eastAsia="Calibri" w:hAnsi="Calibri"/>
            <w:b/>
            <w:bCs/>
            <w:color w:val="17394A"/>
            <w:sz w:val="22"/>
            <w:szCs w:val="22"/>
          </w:rPr>
          <w:t xml:space="preserve">15. Research Proposal Submission and Approval Process</w:t>
        </w:r>
        <w:r>
          <w:rPr>
            <w:rFonts w:ascii="Calibri" w:cs="Calibri" w:eastAsia="Calibri" w:hAnsi="Calibri"/>
            <w:b/>
            <w:bCs/>
            <w:color w:val="17394A"/>
            <w:sz w:val="22"/>
            <w:szCs w:val="22"/>
          </w:rPr>
          <w:t xml:space="preserve">	8</w:t>
        </w:r>
      </w:hyperlink>
    </w:p>
    <w:p>
      <w:pPr>
        <w:tabs>
          <w:tab w:val="right" w:pos="9026" w:leader="dot"/>
        </w:tabs>
        <w:spacing w:after="140"/>
      </w:pPr>
      <w:hyperlink w:history="1" w:anchor="sec1018">
        <w:r>
          <w:rPr>
            <w:rFonts w:ascii="Calibri" w:cs="Calibri" w:eastAsia="Calibri" w:hAnsi="Calibri"/>
            <w:b/>
            <w:bCs/>
            <w:color w:val="17394A"/>
            <w:sz w:val="22"/>
            <w:szCs w:val="22"/>
          </w:rPr>
          <w:t xml:space="preserve">16. Monitoring and Evaluation of Research Projects</w:t>
        </w:r>
        <w:r>
          <w:rPr>
            <w:rFonts w:ascii="Calibri" w:cs="Calibri" w:eastAsia="Calibri" w:hAnsi="Calibri"/>
            <w:b/>
            <w:bCs/>
            <w:color w:val="17394A"/>
            <w:sz w:val="22"/>
            <w:szCs w:val="22"/>
          </w:rPr>
          <w:t xml:space="preserve">	8</w:t>
        </w:r>
      </w:hyperlink>
    </w:p>
    <w:p>
      <w:pPr>
        <w:tabs>
          <w:tab w:val="right" w:pos="9026" w:leader="dot"/>
        </w:tabs>
        <w:spacing w:after="140"/>
      </w:pPr>
      <w:hyperlink w:history="1" w:anchor="sec1019">
        <w:r>
          <w:rPr>
            <w:rFonts w:ascii="Calibri" w:cs="Calibri" w:eastAsia="Calibri" w:hAnsi="Calibri"/>
            <w:b/>
            <w:bCs/>
            <w:color w:val="17394A"/>
            <w:sz w:val="22"/>
            <w:szCs w:val="22"/>
          </w:rPr>
          <w:t xml:space="preserve">17. Research Capacity Building and Training</w:t>
        </w:r>
        <w:r>
          <w:rPr>
            <w:rFonts w:ascii="Calibri" w:cs="Calibri" w:eastAsia="Calibri" w:hAnsi="Calibri"/>
            <w:b/>
            <w:bCs/>
            <w:color w:val="17394A"/>
            <w:sz w:val="22"/>
            <w:szCs w:val="22"/>
          </w:rPr>
          <w:t xml:space="preserve">	8</w:t>
        </w:r>
      </w:hyperlink>
    </w:p>
    <w:p>
      <w:pPr>
        <w:tabs>
          <w:tab w:val="right" w:pos="9026" w:leader="dot"/>
        </w:tabs>
        <w:spacing w:after="140"/>
      </w:pPr>
      <w:hyperlink w:history="1" w:anchor="sec1020">
        <w:r>
          <w:rPr>
            <w:rFonts w:ascii="Calibri" w:cs="Calibri" w:eastAsia="Calibri" w:hAnsi="Calibri"/>
            <w:b/>
            <w:bCs/>
            <w:color w:val="17394A"/>
            <w:sz w:val="22"/>
            <w:szCs w:val="22"/>
          </w:rPr>
          <w:t xml:space="preserve">18. Recognition and Incentives</w:t>
        </w:r>
        <w:r>
          <w:rPr>
            <w:rFonts w:ascii="Calibri" w:cs="Calibri" w:eastAsia="Calibri" w:hAnsi="Calibri"/>
            <w:b/>
            <w:bCs/>
            <w:color w:val="17394A"/>
            <w:sz w:val="22"/>
            <w:szCs w:val="22"/>
          </w:rPr>
          <w:t xml:space="preserve">	8</w:t>
        </w:r>
      </w:hyperlink>
    </w:p>
    <w:p>
      <w:pPr>
        <w:tabs>
          <w:tab w:val="right" w:pos="9026" w:leader="dot"/>
        </w:tabs>
        <w:spacing w:after="140"/>
      </w:pPr>
      <w:hyperlink w:history="1" w:anchor="sec1021">
        <w:r>
          <w:rPr>
            <w:rFonts w:ascii="Calibri" w:cs="Calibri" w:eastAsia="Calibri" w:hAnsi="Calibri"/>
            <w:b/>
            <w:bCs/>
            <w:color w:val="17394A"/>
            <w:sz w:val="22"/>
            <w:szCs w:val="22"/>
          </w:rPr>
          <w:t xml:space="preserve">19. Review and Update</w:t>
        </w:r>
        <w:r>
          <w:rPr>
            <w:rFonts w:ascii="Calibri" w:cs="Calibri" w:eastAsia="Calibri" w:hAnsi="Calibri"/>
            <w:b/>
            <w:bCs/>
            <w:color w:val="17394A"/>
            <w:sz w:val="22"/>
            <w:szCs w:val="22"/>
          </w:rPr>
          <w:t xml:space="preserve">	8</w:t>
        </w:r>
      </w:hyperlink>
    </w:p>
    <w:p>
      <w:pPr>
        <w:tabs>
          <w:tab w:val="right" w:pos="9026" w:leader="dot"/>
        </w:tabs>
        <w:spacing w:after="140"/>
      </w:pPr>
      <w:hyperlink w:history="1" w:anchor="sec1022">
        <w:r>
          <w:rPr>
            <w:rFonts w:ascii="Calibri" w:cs="Calibri" w:eastAsia="Calibri" w:hAnsi="Calibri"/>
            <w:b/>
            <w:bCs/>
            <w:color w:val="17394A"/>
            <w:sz w:val="22"/>
            <w:szCs w:val="22"/>
          </w:rPr>
          <w:t xml:space="preserve">20. Approval and Effective Date</w:t>
        </w:r>
        <w:r>
          <w:rPr>
            <w:rFonts w:ascii="Calibri" w:cs="Calibri" w:eastAsia="Calibri" w:hAnsi="Calibri"/>
            <w:b/>
            <w:bCs/>
            <w:color w:val="17394A"/>
            <w:sz w:val="22"/>
            <w:szCs w:val="22"/>
          </w:rPr>
          <w:t xml:space="preserve">	9</w:t>
        </w:r>
      </w:hyperlink>
    </w:p>
    <w:p>
      <w:pPr>
        <w:sectPr>
          <w:pgSz w:w="11906" w:h="16838" w:orient="portrait"/>
          <w:pgMar w:top="1134" w:right="1134" w:bottom="1134" w:left="1134" w:header="708" w:footer="708" w:gutter="0"/>
          <w:pgBorders>
            <w:top w:val="single" w:color="1F4E5F" w:sz="18" w:space="24"/>
            <w:left w:val="single" w:color="1F4E5F" w:sz="18" w:space="24"/>
            <w:bottom w:val="single" w:color="1F4E5F" w:sz="18" w:space="24"/>
            <w:right w:val="single" w:color="1F4E5F" w:sz="18" w:space="24"/>
          </w:pgBorders>
          <w:pgNumType/>
          <w:docGrid w:linePitch="360"/>
        </w:sectPr>
      </w:pPr>
    </w:p>
    <w:p>
      <w:pPr>
        <w:pStyle w:val="Heading1"/>
        <w:keepNext/>
        <w:pBdr>
          <w:bottom w:val="single" w:color="B08D3E" w:sz="8" w:space="4"/>
        </w:pBdr>
        <w:spacing w:after="200" w:before="420"/>
      </w:pPr>
      <w:bookmarkStart w:name="sec1000" w:id="1"/>
      <w:r>
        <w:rPr>
          <w:rFonts w:ascii="Calibri" w:cs="Calibri" w:eastAsia="Calibri" w:hAnsi="Calibri"/>
          <w:b/>
          <w:bCs/>
          <w:color w:val="1F4E5F"/>
          <w:sz w:val="30"/>
          <w:szCs w:val="30"/>
        </w:rPr>
        <w:t xml:space="preserve">1. Introduction</w:t>
      </w:r>
      <w:bookmarkEnd w:id="1"/>
    </w:p>
    <w:p>
      <w:pPr>
        <w:spacing w:after="160" w:line="300"/>
        <w:jc w:val="both"/>
      </w:pPr>
      <w:r>
        <w:rPr>
          <w:rFonts w:ascii="Calibri" w:cs="Calibri" w:eastAsia="Calibri" w:hAnsi="Calibri"/>
          <w:sz w:val="22"/>
          <w:szCs w:val="22"/>
        </w:rPr>
        <w:t xml:space="preserve">This document constitutes the Research Policy of the Saudi Society of Gynecologic Oncology, forming the reference framework and organizational foundation governing all research activities conducted, supervised, or supported by the Society, whether clinical, epidemiological, basic science, or health-systems research related to gynecologic malignancies.</w:t>
      </w:r>
    </w:p>
    <w:p>
      <w:pPr>
        <w:spacing w:after="160" w:line="300"/>
        <w:jc w:val="both"/>
      </w:pPr>
      <w:r>
        <w:rPr>
          <w:rFonts w:ascii="Calibri" w:cs="Calibri" w:eastAsia="Calibri" w:hAnsi="Calibri"/>
          <w:sz w:val="22"/>
          <w:szCs w:val="22"/>
        </w:rPr>
        <w:t xml:space="preserve">This policy stems from the Society's mission to advance the standard of care for women affected by gynecologic cancers through the generation of reliable scientific knowledge, the enhancement of practitioners' competencies, and support for evidence-based clinical decision-making, in alignment with relevant Saudi regulations — foremost among them the Law of Ethics of Research on Living Creatures issued by the Saudi Food and Drug Authority (SFDA), the regulations of the King Abdulaziz City for Science and Technology (KACST), and international research practice standards.</w:t>
      </w:r>
    </w:p>
    <w:p>
      <w:pPr>
        <w:spacing w:after="160" w:line="300"/>
        <w:jc w:val="both"/>
      </w:pPr>
      <w:r>
        <w:rPr>
          <w:rFonts w:ascii="Calibri" w:cs="Calibri" w:eastAsia="Calibri" w:hAnsi="Calibri"/>
          <w:sz w:val="22"/>
          <w:szCs w:val="22"/>
        </w:rPr>
        <w:t xml:space="preserve">This document is intended as the foundational "Bylaws" from which more detailed procedural guides will later be derived (such as a proposal-submission guide, a research-integrity manual, and a conflict-of-interest disclosure form), while remaining the highest point of reference in the event of any conflict.</w:t>
      </w:r>
    </w:p>
    <w:p>
      <w:pPr>
        <w:pStyle w:val="Heading1"/>
        <w:keepNext/>
        <w:pBdr>
          <w:bottom w:val="single" w:color="B08D3E" w:sz="8" w:space="4"/>
        </w:pBdr>
        <w:spacing w:after="200" w:before="420"/>
      </w:pPr>
      <w:bookmarkStart w:name="sec1001" w:id="1"/>
      <w:r>
        <w:rPr>
          <w:rFonts w:ascii="Calibri" w:cs="Calibri" w:eastAsia="Calibri" w:hAnsi="Calibri"/>
          <w:b/>
          <w:bCs/>
          <w:color w:val="1F4E5F"/>
          <w:sz w:val="30"/>
          <w:szCs w:val="30"/>
        </w:rPr>
        <w:t xml:space="preserve">2. Objectives</w:t>
      </w:r>
      <w:bookmarkEnd w:id="1"/>
    </w:p>
    <w:p>
      <w:pPr>
        <w:spacing w:after="160" w:line="300"/>
        <w:jc w:val="both"/>
      </w:pPr>
      <w:r>
        <w:rPr>
          <w:rFonts w:ascii="Calibri" w:cs="Calibri" w:eastAsia="Calibri" w:hAnsi="Calibri"/>
          <w:sz w:val="22"/>
          <w:szCs w:val="22"/>
        </w:rPr>
        <w:t xml:space="preserve">This policy aims to:</w:t>
      </w:r>
    </w:p>
    <w:p>
      <w:pPr>
        <w:pStyle w:val="ListParagraph"/>
        <w:numPr>
          <w:ilvl w:val="0"/>
          <w:numId w:val="2"/>
        </w:numPr>
        <w:spacing w:after="100" w:line="300"/>
        <w:jc w:val="both"/>
      </w:pPr>
      <w:r>
        <w:rPr>
          <w:rFonts w:ascii="Calibri" w:cs="Calibri" w:eastAsia="Calibri" w:hAnsi="Calibri"/>
          <w:sz w:val="22"/>
          <w:szCs w:val="22"/>
        </w:rPr>
        <w:t xml:space="preserve">Organize the research process within the Society in a manner that ensures scientific quality, ethical soundness, and transparency.</w:t>
      </w:r>
    </w:p>
    <w:p>
      <w:pPr>
        <w:pStyle w:val="ListParagraph"/>
        <w:numPr>
          <w:ilvl w:val="0"/>
          <w:numId w:val="2"/>
        </w:numPr>
        <w:spacing w:after="100" w:line="300"/>
        <w:jc w:val="both"/>
      </w:pPr>
      <w:r>
        <w:rPr>
          <w:rFonts w:ascii="Calibri" w:cs="Calibri" w:eastAsia="Calibri" w:hAnsi="Calibri"/>
          <w:sz w:val="22"/>
          <w:szCs w:val="22"/>
        </w:rPr>
        <w:t xml:space="preserve">Define roles and responsibilities among the Scientific Committee, researchers, and the Board of Directors.</w:t>
      </w:r>
    </w:p>
    <w:p>
      <w:pPr>
        <w:pStyle w:val="ListParagraph"/>
        <w:numPr>
          <w:ilvl w:val="0"/>
          <w:numId w:val="2"/>
        </w:numPr>
        <w:spacing w:after="100" w:line="300"/>
        <w:jc w:val="both"/>
      </w:pPr>
      <w:r>
        <w:rPr>
          <w:rFonts w:ascii="Calibri" w:cs="Calibri" w:eastAsia="Calibri" w:hAnsi="Calibri"/>
          <w:sz w:val="22"/>
          <w:szCs w:val="22"/>
        </w:rPr>
        <w:t xml:space="preserve">Promote a culture of applied scientific research in the field of gynecologic oncology among members and trainees.</w:t>
      </w:r>
    </w:p>
    <w:p>
      <w:pPr>
        <w:pStyle w:val="ListParagraph"/>
        <w:numPr>
          <w:ilvl w:val="0"/>
          <w:numId w:val="2"/>
        </w:numPr>
        <w:spacing w:after="100" w:line="300"/>
        <w:jc w:val="both"/>
      </w:pPr>
      <w:r>
        <w:rPr>
          <w:rFonts w:ascii="Calibri" w:cs="Calibri" w:eastAsia="Calibri" w:hAnsi="Calibri"/>
          <w:sz w:val="22"/>
          <w:szCs w:val="22"/>
        </w:rPr>
        <w:t xml:space="preserve">Protect the rights of research participants and ensure the confidentiality of their data.</w:t>
      </w:r>
    </w:p>
    <w:p>
      <w:pPr>
        <w:pStyle w:val="ListParagraph"/>
        <w:numPr>
          <w:ilvl w:val="0"/>
          <w:numId w:val="2"/>
        </w:numPr>
        <w:spacing w:after="100" w:line="300"/>
        <w:jc w:val="both"/>
      </w:pPr>
      <w:r>
        <w:rPr>
          <w:rFonts w:ascii="Calibri" w:cs="Calibri" w:eastAsia="Calibri" w:hAnsi="Calibri"/>
          <w:sz w:val="22"/>
          <w:szCs w:val="22"/>
        </w:rPr>
        <w:t xml:space="preserve">Safeguard research integrity and prevent all forms of research misconduct.</w:t>
      </w:r>
    </w:p>
    <w:p>
      <w:pPr>
        <w:pStyle w:val="ListParagraph"/>
        <w:numPr>
          <w:ilvl w:val="0"/>
          <w:numId w:val="2"/>
        </w:numPr>
        <w:spacing w:after="100" w:line="300"/>
        <w:jc w:val="both"/>
      </w:pPr>
      <w:r>
        <w:rPr>
          <w:rFonts w:ascii="Calibri" w:cs="Calibri" w:eastAsia="Calibri" w:hAnsi="Calibri"/>
          <w:sz w:val="22"/>
          <w:szCs w:val="22"/>
        </w:rPr>
        <w:t xml:space="preserve">Regulate the rules governing authorship, publication, and intellectual property of research output.</w:t>
      </w:r>
    </w:p>
    <w:p>
      <w:pPr>
        <w:pStyle w:val="ListParagraph"/>
        <w:numPr>
          <w:ilvl w:val="0"/>
          <w:numId w:val="2"/>
        </w:numPr>
        <w:spacing w:after="100" w:line="300"/>
        <w:jc w:val="both"/>
      </w:pPr>
      <w:r>
        <w:rPr>
          <w:rFonts w:ascii="Calibri" w:cs="Calibri" w:eastAsia="Calibri" w:hAnsi="Calibri"/>
          <w:sz w:val="22"/>
          <w:szCs w:val="22"/>
        </w:rPr>
        <w:t xml:space="preserve">Define mechanisms for research funding and support, and the conflicts of interest associated with them.</w:t>
      </w:r>
    </w:p>
    <w:p>
      <w:pPr>
        <w:pStyle w:val="ListParagraph"/>
        <w:numPr>
          <w:ilvl w:val="0"/>
          <w:numId w:val="2"/>
        </w:numPr>
        <w:spacing w:after="100" w:line="300"/>
        <w:jc w:val="both"/>
      </w:pPr>
      <w:r>
        <w:rPr>
          <w:rFonts w:ascii="Calibri" w:cs="Calibri" w:eastAsia="Calibri" w:hAnsi="Calibri"/>
          <w:sz w:val="22"/>
          <w:szCs w:val="22"/>
        </w:rPr>
        <w:t xml:space="preserve">Strengthen local, regional, and international research collaboration in the field of gynecologic oncology.</w:t>
      </w:r>
    </w:p>
    <w:p>
      <w:pPr>
        <w:pStyle w:val="ListParagraph"/>
        <w:numPr>
          <w:ilvl w:val="0"/>
          <w:numId w:val="2"/>
        </w:numPr>
        <w:spacing w:after="100" w:line="300"/>
        <w:jc w:val="both"/>
      </w:pPr>
      <w:r>
        <w:rPr>
          <w:rFonts w:ascii="Calibri" w:cs="Calibri" w:eastAsia="Calibri" w:hAnsi="Calibri"/>
          <w:sz w:val="22"/>
          <w:szCs w:val="22"/>
        </w:rPr>
        <w:t xml:space="preserve">Build the research capacity of members through training and academic mentorship.</w:t>
      </w:r>
    </w:p>
    <w:p>
      <w:pPr>
        <w:pStyle w:val="Heading1"/>
        <w:keepNext/>
        <w:pBdr>
          <w:bottom w:val="single" w:color="B08D3E" w:sz="8" w:space="4"/>
        </w:pBdr>
        <w:spacing w:after="200" w:before="420"/>
      </w:pPr>
      <w:bookmarkStart w:name="sec1002" w:id="1"/>
      <w:r>
        <w:rPr>
          <w:rFonts w:ascii="Calibri" w:cs="Calibri" w:eastAsia="Calibri" w:hAnsi="Calibri"/>
          <w:b/>
          <w:bCs/>
          <w:color w:val="1F4E5F"/>
          <w:sz w:val="30"/>
          <w:szCs w:val="30"/>
        </w:rPr>
        <w:t xml:space="preserve">3. Scope of Application</w:t>
      </w:r>
      <w:bookmarkEnd w:id="1"/>
    </w:p>
    <w:p>
      <w:pPr>
        <w:spacing w:after="160" w:line="300"/>
        <w:jc w:val="both"/>
      </w:pPr>
      <w:r>
        <w:rPr>
          <w:rFonts w:ascii="Calibri" w:cs="Calibri" w:eastAsia="Calibri" w:hAnsi="Calibri"/>
          <w:sz w:val="22"/>
          <w:szCs w:val="22"/>
        </w:rPr>
        <w:t xml:space="preserve">This policy applies to:</w:t>
      </w:r>
    </w:p>
    <w:p>
      <w:pPr>
        <w:pStyle w:val="ListParagraph"/>
        <w:numPr>
          <w:ilvl w:val="0"/>
          <w:numId w:val="3"/>
        </w:numPr>
        <w:spacing w:after="100" w:line="300"/>
        <w:jc w:val="both"/>
      </w:pPr>
      <w:r>
        <w:rPr>
          <w:rFonts w:ascii="Calibri" w:cs="Calibri" w:eastAsia="Calibri" w:hAnsi="Calibri"/>
          <w:sz w:val="22"/>
          <w:szCs w:val="22"/>
        </w:rPr>
        <w:t xml:space="preserve">All research conducted under the umbrella of the Society, in its name, or with direct or indirect support from it.</w:t>
      </w:r>
    </w:p>
    <w:p>
      <w:pPr>
        <w:pStyle w:val="ListParagraph"/>
        <w:numPr>
          <w:ilvl w:val="0"/>
          <w:numId w:val="3"/>
        </w:numPr>
        <w:spacing w:after="100" w:line="300"/>
        <w:jc w:val="both"/>
      </w:pPr>
      <w:r>
        <w:rPr>
          <w:rFonts w:ascii="Calibri" w:cs="Calibri" w:eastAsia="Calibri" w:hAnsi="Calibri"/>
          <w:sz w:val="22"/>
          <w:szCs w:val="22"/>
        </w:rPr>
        <w:t xml:space="preserve">All Society members engaged in research activities (consultants, specialists, fellows, and research assistants).</w:t>
      </w:r>
    </w:p>
    <w:p>
      <w:pPr>
        <w:pStyle w:val="ListParagraph"/>
        <w:numPr>
          <w:ilvl w:val="0"/>
          <w:numId w:val="3"/>
        </w:numPr>
        <w:spacing w:after="100" w:line="300"/>
        <w:jc w:val="both"/>
      </w:pPr>
      <w:r>
        <w:rPr>
          <w:rFonts w:ascii="Calibri" w:cs="Calibri" w:eastAsia="Calibri" w:hAnsi="Calibri"/>
          <w:sz w:val="22"/>
          <w:szCs w:val="22"/>
        </w:rPr>
        <w:t xml:space="preserve">Committees and research teams emerging from the Society, including patient registries and multi-center studies.</w:t>
      </w:r>
    </w:p>
    <w:p>
      <w:pPr>
        <w:pStyle w:val="ListParagraph"/>
        <w:numPr>
          <w:ilvl w:val="0"/>
          <w:numId w:val="3"/>
        </w:numPr>
        <w:spacing w:after="100" w:line="300"/>
        <w:jc w:val="both"/>
      </w:pPr>
      <w:r>
        <w:rPr>
          <w:rFonts w:ascii="Calibri" w:cs="Calibri" w:eastAsia="Calibri" w:hAnsi="Calibri"/>
          <w:sz w:val="22"/>
          <w:szCs w:val="22"/>
        </w:rPr>
        <w:t xml:space="preserve">Institutions collaborating with the Society on joint research projects, to the extent specified in the relevant collaboration agreements.</w:t>
      </w:r>
    </w:p>
    <w:p>
      <w:pPr>
        <w:spacing w:after="160" w:line="300"/>
        <w:jc w:val="both"/>
      </w:pPr>
      <w:r>
        <w:rPr>
          <w:rFonts w:ascii="Calibri" w:cs="Calibri" w:eastAsia="Calibri" w:hAnsi="Calibri"/>
          <w:sz w:val="22"/>
          <w:szCs w:val="22"/>
        </w:rPr>
        <w:t xml:space="preserve">This policy does not supersede or replace the regulations of the Saudi Food and Drug Authority, nor the institutional research ethics committees (IRBs) of the healthcare institutions where researchers are employed; rather, it complements them and requires researchers to comply with them as a minimum standard.</w:t>
      </w:r>
    </w:p>
    <w:p>
      <w:pPr>
        <w:pStyle w:val="Heading1"/>
        <w:keepNext/>
        <w:pBdr>
          <w:bottom w:val="single" w:color="B08D3E" w:sz="8" w:space="4"/>
        </w:pBdr>
        <w:spacing w:after="200" w:before="420"/>
      </w:pPr>
      <w:bookmarkStart w:name="sec1003" w:id="1"/>
      <w:r>
        <w:rPr>
          <w:rFonts w:ascii="Calibri" w:cs="Calibri" w:eastAsia="Calibri" w:hAnsi="Calibri"/>
          <w:b/>
          <w:bCs/>
          <w:color w:val="1F4E5F"/>
          <w:sz w:val="30"/>
          <w:szCs w:val="30"/>
        </w:rPr>
        <w:t xml:space="preserve">4. Definitions</w:t>
      </w:r>
      <w:bookmarkEnd w:id="1"/>
    </w:p>
    <w:p>
      <w:pPr>
        <w:pStyle w:val="ListParagraph"/>
        <w:numPr>
          <w:ilvl w:val="0"/>
          <w:numId w:val="3"/>
        </w:numPr>
        <w:spacing w:after="100" w:line="300"/>
        <w:jc w:val="both"/>
      </w:pPr>
      <w:r>
        <w:rPr>
          <w:rFonts w:ascii="Calibri" w:cs="Calibri" w:eastAsia="Calibri" w:hAnsi="Calibri"/>
          <w:sz w:val="22"/>
          <w:szCs w:val="22"/>
        </w:rPr>
        <w:t xml:space="preserve">The Society: The Saudi Society of Gynecologic Oncology.</w:t>
      </w:r>
    </w:p>
    <w:p>
      <w:pPr>
        <w:pStyle w:val="ListParagraph"/>
        <w:numPr>
          <w:ilvl w:val="0"/>
          <w:numId w:val="3"/>
        </w:numPr>
        <w:spacing w:after="100" w:line="300"/>
        <w:jc w:val="both"/>
      </w:pPr>
      <w:r>
        <w:rPr>
          <w:rFonts w:ascii="Calibri" w:cs="Calibri" w:eastAsia="Calibri" w:hAnsi="Calibri"/>
          <w:sz w:val="22"/>
          <w:szCs w:val="22"/>
        </w:rPr>
        <w:t xml:space="preserve">Scientific Committee: The Society's standing committee responsible for overseeing research and scientific affairs.</w:t>
      </w:r>
    </w:p>
    <w:p>
      <w:pPr>
        <w:pStyle w:val="ListParagraph"/>
        <w:numPr>
          <w:ilvl w:val="0"/>
          <w:numId w:val="3"/>
        </w:numPr>
        <w:spacing w:after="100" w:line="300"/>
        <w:jc w:val="both"/>
      </w:pPr>
      <w:r>
        <w:rPr>
          <w:rFonts w:ascii="Calibri" w:cs="Calibri" w:eastAsia="Calibri" w:hAnsi="Calibri"/>
          <w:sz w:val="22"/>
          <w:szCs w:val="22"/>
        </w:rPr>
        <w:t xml:space="preserve">Principal Investigator (PI): The member who bears direct responsibility for designing, conducting, and managing the research project.</w:t>
      </w:r>
    </w:p>
    <w:p>
      <w:pPr>
        <w:pStyle w:val="ListParagraph"/>
        <w:numPr>
          <w:ilvl w:val="0"/>
          <w:numId w:val="3"/>
        </w:numPr>
        <w:spacing w:after="100" w:line="300"/>
        <w:jc w:val="both"/>
      </w:pPr>
      <w:r>
        <w:rPr>
          <w:rFonts w:ascii="Calibri" w:cs="Calibri" w:eastAsia="Calibri" w:hAnsi="Calibri"/>
          <w:sz w:val="22"/>
          <w:szCs w:val="22"/>
        </w:rPr>
        <w:t xml:space="preserve">Institutional Review Board (IRB): The institutional committee, accredited by the Saudi Food and Drug Authority, responsible for reviewing the ethical aspects of research involving human subjects.</w:t>
      </w:r>
    </w:p>
    <w:p>
      <w:pPr>
        <w:pStyle w:val="ListParagraph"/>
        <w:numPr>
          <w:ilvl w:val="0"/>
          <w:numId w:val="3"/>
        </w:numPr>
        <w:spacing w:after="100" w:line="300"/>
        <w:jc w:val="both"/>
      </w:pPr>
      <w:r>
        <w:rPr>
          <w:rFonts w:ascii="Calibri" w:cs="Calibri" w:eastAsia="Calibri" w:hAnsi="Calibri"/>
          <w:sz w:val="22"/>
          <w:szCs w:val="22"/>
        </w:rPr>
        <w:t xml:space="preserve">Conflict of Interest: Any situation in which a researcher's scientific objectivity may be compromised by a personal, financial, or professional interest.</w:t>
      </w:r>
    </w:p>
    <w:p>
      <w:pPr>
        <w:pStyle w:val="ListParagraph"/>
        <w:numPr>
          <w:ilvl w:val="0"/>
          <w:numId w:val="3"/>
        </w:numPr>
        <w:spacing w:after="100" w:line="300"/>
        <w:jc w:val="both"/>
      </w:pPr>
      <w:r>
        <w:rPr>
          <w:rFonts w:ascii="Calibri" w:cs="Calibri" w:eastAsia="Calibri" w:hAnsi="Calibri"/>
          <w:sz w:val="22"/>
          <w:szCs w:val="22"/>
        </w:rPr>
        <w:t xml:space="preserve">Research Misconduct: Includes, without limitation, fabrication, falsification, plagiarism, and duplicate publication.</w:t>
      </w:r>
    </w:p>
    <w:p>
      <w:pPr>
        <w:pStyle w:val="Heading1"/>
        <w:keepNext/>
        <w:pBdr>
          <w:bottom w:val="single" w:color="B08D3E" w:sz="8" w:space="4"/>
        </w:pBdr>
        <w:spacing w:after="200" w:before="420"/>
      </w:pPr>
      <w:bookmarkStart w:name="sec1004" w:id="1"/>
      <w:r>
        <w:rPr>
          <w:rFonts w:ascii="Calibri" w:cs="Calibri" w:eastAsia="Calibri" w:hAnsi="Calibri"/>
          <w:b/>
          <w:bCs/>
          <w:color w:val="1F4E5F"/>
          <w:sz w:val="30"/>
          <w:szCs w:val="30"/>
        </w:rPr>
        <w:t xml:space="preserve">5. Research Governance</w:t>
      </w:r>
      <w:bookmarkEnd w:id="1"/>
    </w:p>
    <w:p>
      <w:pPr>
        <w:pStyle w:val="Heading2"/>
        <w:keepNext/>
        <w:spacing w:after="140" w:before="280"/>
      </w:pPr>
      <w:bookmarkStart w:name="sec1005" w:id="1"/>
      <w:r>
        <w:rPr>
          <w:rFonts w:ascii="Calibri" w:cs="Calibri" w:eastAsia="Calibri" w:hAnsi="Calibri"/>
          <w:b/>
          <w:bCs/>
          <w:color w:val="2E6E8E"/>
          <w:sz w:val="24"/>
          <w:szCs w:val="24"/>
        </w:rPr>
        <w:t xml:space="preserve">5.1 Scientific Committee / Research Committee</w:t>
      </w:r>
      <w:bookmarkEnd w:id="1"/>
    </w:p>
    <w:p>
      <w:pPr>
        <w:spacing w:after="160" w:line="300"/>
        <w:jc w:val="both"/>
      </w:pPr>
      <w:r>
        <w:rPr>
          <w:rFonts w:ascii="Calibri" w:cs="Calibri" w:eastAsia="Calibri" w:hAnsi="Calibri"/>
          <w:sz w:val="22"/>
          <w:szCs w:val="22"/>
        </w:rPr>
        <w:t xml:space="preserve">A standing Scientific Committee shall be established by decision of the Society's Board of Directors to oversee research affairs, with the following responsibilities:</w:t>
      </w:r>
    </w:p>
    <w:p>
      <w:pPr>
        <w:pStyle w:val="ListParagraph"/>
        <w:numPr>
          <w:ilvl w:val="0"/>
          <w:numId w:val="4"/>
        </w:numPr>
        <w:spacing w:after="100" w:line="300"/>
        <w:jc w:val="both"/>
      </w:pPr>
      <w:r>
        <w:rPr>
          <w:rFonts w:ascii="Calibri" w:cs="Calibri" w:eastAsia="Calibri" w:hAnsi="Calibri"/>
          <w:sz w:val="22"/>
          <w:szCs w:val="22"/>
        </w:rPr>
        <w:t xml:space="preserve">Approving the Society's strategic research priorities on a periodic basis.</w:t>
      </w:r>
    </w:p>
    <w:p>
      <w:pPr>
        <w:pStyle w:val="ListParagraph"/>
        <w:numPr>
          <w:ilvl w:val="0"/>
          <w:numId w:val="4"/>
        </w:numPr>
        <w:spacing w:after="100" w:line="300"/>
        <w:jc w:val="both"/>
      </w:pPr>
      <w:r>
        <w:rPr>
          <w:rFonts w:ascii="Calibri" w:cs="Calibri" w:eastAsia="Calibri" w:hAnsi="Calibri"/>
          <w:sz w:val="22"/>
          <w:szCs w:val="22"/>
        </w:rPr>
        <w:t xml:space="preserve">Reviewing and approving research proposals submitted under the Society's umbrella from a scientific and methodological standpoint.</w:t>
      </w:r>
    </w:p>
    <w:p>
      <w:pPr>
        <w:pStyle w:val="ListParagraph"/>
        <w:numPr>
          <w:ilvl w:val="0"/>
          <w:numId w:val="4"/>
        </w:numPr>
        <w:spacing w:after="100" w:line="300"/>
        <w:jc w:val="both"/>
      </w:pPr>
      <w:r>
        <w:rPr>
          <w:rFonts w:ascii="Calibri" w:cs="Calibri" w:eastAsia="Calibri" w:hAnsi="Calibri"/>
          <w:sz w:val="22"/>
          <w:szCs w:val="22"/>
        </w:rPr>
        <w:t xml:space="preserve">Ensuring that research projects have obtained the necessary approvals from the relevant research ethics committees prior to commencement.</w:t>
      </w:r>
    </w:p>
    <w:p>
      <w:pPr>
        <w:pStyle w:val="ListParagraph"/>
        <w:numPr>
          <w:ilvl w:val="0"/>
          <w:numId w:val="4"/>
        </w:numPr>
        <w:spacing w:after="100" w:line="300"/>
        <w:jc w:val="both"/>
      </w:pPr>
      <w:r>
        <w:rPr>
          <w:rFonts w:ascii="Calibri" w:cs="Calibri" w:eastAsia="Calibri" w:hAnsi="Calibri"/>
          <w:sz w:val="22"/>
          <w:szCs w:val="22"/>
        </w:rPr>
        <w:t xml:space="preserve">Monitoring the progress of approved research projects and periodically evaluating their outputs.</w:t>
      </w:r>
    </w:p>
    <w:p>
      <w:pPr>
        <w:pStyle w:val="ListParagraph"/>
        <w:numPr>
          <w:ilvl w:val="0"/>
          <w:numId w:val="4"/>
        </w:numPr>
        <w:spacing w:after="100" w:line="300"/>
        <w:jc w:val="both"/>
      </w:pPr>
      <w:r>
        <w:rPr>
          <w:rFonts w:ascii="Calibri" w:cs="Calibri" w:eastAsia="Calibri" w:hAnsi="Calibri"/>
          <w:sz w:val="22"/>
          <w:szCs w:val="22"/>
        </w:rPr>
        <w:t xml:space="preserve">Adjudicating conflict-of-interest cases and complaints related to research integrity, and referring recommendations to the Board of Directors.</w:t>
      </w:r>
    </w:p>
    <w:p>
      <w:pPr>
        <w:pStyle w:val="ListParagraph"/>
        <w:numPr>
          <w:ilvl w:val="0"/>
          <w:numId w:val="4"/>
        </w:numPr>
        <w:spacing w:after="100" w:line="300"/>
        <w:jc w:val="both"/>
      </w:pPr>
      <w:r>
        <w:rPr>
          <w:rFonts w:ascii="Calibri" w:cs="Calibri" w:eastAsia="Calibri" w:hAnsi="Calibri"/>
          <w:sz w:val="22"/>
          <w:szCs w:val="22"/>
        </w:rPr>
        <w:t xml:space="preserve">Proposing research capacity-building programs and internal grants to the Board of Directors.</w:t>
      </w:r>
    </w:p>
    <w:p>
      <w:pPr>
        <w:pStyle w:val="Heading2"/>
        <w:keepNext/>
        <w:spacing w:after="140" w:before="280"/>
      </w:pPr>
      <w:bookmarkStart w:name="sec1006" w:id="1"/>
      <w:r>
        <w:rPr>
          <w:rFonts w:ascii="Calibri" w:cs="Calibri" w:eastAsia="Calibri" w:hAnsi="Calibri"/>
          <w:b/>
          <w:bCs/>
          <w:color w:val="2E6E8E"/>
          <w:sz w:val="24"/>
          <w:szCs w:val="24"/>
        </w:rPr>
        <w:t xml:space="preserve">5.2 Board of Directors</w:t>
      </w:r>
      <w:bookmarkEnd w:id="1"/>
    </w:p>
    <w:p>
      <w:pPr>
        <w:spacing w:after="160" w:line="300"/>
        <w:jc w:val="both"/>
      </w:pPr>
      <w:r>
        <w:rPr>
          <w:rFonts w:ascii="Calibri" w:cs="Calibri" w:eastAsia="Calibri" w:hAnsi="Calibri"/>
          <w:sz w:val="22"/>
          <w:szCs w:val="22"/>
        </w:rPr>
        <w:t xml:space="preserve">The Society's Board of Directors remains the final decision-making authority for the approval of this policy and its amendments, and for adjudicating substantive matters referred to it by the Scientific Committee, including serious violations of research integrity.</w:t>
      </w:r>
    </w:p>
    <w:p>
      <w:pPr>
        <w:pStyle w:val="Heading2"/>
        <w:keepNext/>
        <w:spacing w:after="140" w:before="280"/>
      </w:pPr>
      <w:bookmarkStart w:name="sec1007" w:id="1"/>
      <w:r>
        <w:rPr>
          <w:rFonts w:ascii="Calibri" w:cs="Calibri" w:eastAsia="Calibri" w:hAnsi="Calibri"/>
          <w:b/>
          <w:bCs/>
          <w:color w:val="2E6E8E"/>
          <w:sz w:val="24"/>
          <w:szCs w:val="24"/>
        </w:rPr>
        <w:t xml:space="preserve">5.3 Principal Investigator</w:t>
      </w:r>
      <w:bookmarkEnd w:id="1"/>
    </w:p>
    <w:p>
      <w:pPr>
        <w:spacing w:after="160" w:line="300"/>
        <w:jc w:val="both"/>
      </w:pPr>
      <w:r>
        <w:rPr>
          <w:rFonts w:ascii="Calibri" w:cs="Calibri" w:eastAsia="Calibri" w:hAnsi="Calibri"/>
          <w:sz w:val="22"/>
          <w:szCs w:val="22"/>
        </w:rPr>
        <w:t xml:space="preserve">The Principal Investigator bears full responsibility for compliance with this policy, the accuracy of the data, the integrity of informed-consent procedures, and the sound management of the research team.</w:t>
      </w:r>
    </w:p>
    <w:p>
      <w:pPr>
        <w:pStyle w:val="Heading1"/>
        <w:keepNext/>
        <w:pBdr>
          <w:bottom w:val="single" w:color="B08D3E" w:sz="8" w:space="4"/>
        </w:pBdr>
        <w:spacing w:after="200" w:before="420"/>
      </w:pPr>
      <w:bookmarkStart w:name="sec1008" w:id="1"/>
      <w:r>
        <w:rPr>
          <w:rFonts w:ascii="Calibri" w:cs="Calibri" w:eastAsia="Calibri" w:hAnsi="Calibri"/>
          <w:b/>
          <w:bCs/>
          <w:color w:val="1F4E5F"/>
          <w:sz w:val="30"/>
          <w:szCs w:val="30"/>
        </w:rPr>
        <w:t xml:space="preserve">6. Strategic Research Priorities</w:t>
      </w:r>
      <w:bookmarkEnd w:id="1"/>
    </w:p>
    <w:p>
      <w:pPr>
        <w:spacing w:after="160" w:line="300"/>
        <w:jc w:val="both"/>
      </w:pPr>
      <w:r>
        <w:rPr>
          <w:rFonts w:ascii="Calibri" w:cs="Calibri" w:eastAsia="Calibri" w:hAnsi="Calibri"/>
          <w:sz w:val="22"/>
          <w:szCs w:val="22"/>
        </w:rPr>
        <w:t xml:space="preserve">The Society directs its research efforts toward areas of national and health priority, including, for example:</w:t>
      </w:r>
    </w:p>
    <w:p>
      <w:pPr>
        <w:pStyle w:val="ListParagraph"/>
        <w:numPr>
          <w:ilvl w:val="0"/>
          <w:numId w:val="3"/>
        </w:numPr>
        <w:spacing w:after="100" w:line="300"/>
        <w:jc w:val="both"/>
      </w:pPr>
      <w:r>
        <w:rPr>
          <w:rFonts w:ascii="Calibri" w:cs="Calibri" w:eastAsia="Calibri" w:hAnsi="Calibri"/>
          <w:sz w:val="22"/>
          <w:szCs w:val="22"/>
        </w:rPr>
        <w:t xml:space="preserve">The epidemiology and prevalence rates of cervical, ovarian, uterine, vulvar, and vaginal cancers in the Kingdom.</w:t>
      </w:r>
    </w:p>
    <w:p>
      <w:pPr>
        <w:pStyle w:val="ListParagraph"/>
        <w:numPr>
          <w:ilvl w:val="0"/>
          <w:numId w:val="3"/>
        </w:numPr>
        <w:spacing w:after="100" w:line="300"/>
        <w:jc w:val="both"/>
      </w:pPr>
      <w:r>
        <w:rPr>
          <w:rFonts w:ascii="Calibri" w:cs="Calibri" w:eastAsia="Calibri" w:hAnsi="Calibri"/>
          <w:sz w:val="22"/>
          <w:szCs w:val="22"/>
        </w:rPr>
        <w:t xml:space="preserve">Early-detection and prevention programs (such as cervical cancer screening and HPV vaccination).</w:t>
      </w:r>
    </w:p>
    <w:p>
      <w:pPr>
        <w:pStyle w:val="ListParagraph"/>
        <w:numPr>
          <w:ilvl w:val="0"/>
          <w:numId w:val="3"/>
        </w:numPr>
        <w:spacing w:after="100" w:line="300"/>
        <w:jc w:val="both"/>
      </w:pPr>
      <w:r>
        <w:rPr>
          <w:rFonts w:ascii="Calibri" w:cs="Calibri" w:eastAsia="Calibri" w:hAnsi="Calibri"/>
          <w:sz w:val="22"/>
          <w:szCs w:val="22"/>
        </w:rPr>
        <w:t xml:space="preserve">Outcomes of surgical, medical, and radiation treatment, and quality of life after treatment.</w:t>
      </w:r>
    </w:p>
    <w:p>
      <w:pPr>
        <w:pStyle w:val="ListParagraph"/>
        <w:numPr>
          <w:ilvl w:val="0"/>
          <w:numId w:val="3"/>
        </w:numPr>
        <w:spacing w:after="100" w:line="300"/>
        <w:jc w:val="both"/>
      </w:pPr>
      <w:r>
        <w:rPr>
          <w:rFonts w:ascii="Calibri" w:cs="Calibri" w:eastAsia="Calibri" w:hAnsi="Calibri"/>
          <w:sz w:val="22"/>
          <w:szCs w:val="22"/>
        </w:rPr>
        <w:t xml:space="preserve">Genomics and precision medicine in gynecologic oncology.</w:t>
      </w:r>
    </w:p>
    <w:p>
      <w:pPr>
        <w:pStyle w:val="ListParagraph"/>
        <w:numPr>
          <w:ilvl w:val="0"/>
          <w:numId w:val="3"/>
        </w:numPr>
        <w:spacing w:after="100" w:line="300"/>
        <w:jc w:val="both"/>
      </w:pPr>
      <w:r>
        <w:rPr>
          <w:rFonts w:ascii="Calibri" w:cs="Calibri" w:eastAsia="Calibri" w:hAnsi="Calibri"/>
          <w:sz w:val="22"/>
          <w:szCs w:val="22"/>
        </w:rPr>
        <w:t xml:space="preserve">Gaps in national health records and data related to gynecologic cancers.</w:t>
      </w:r>
    </w:p>
    <w:p>
      <w:pPr>
        <w:spacing w:after="160" w:line="300"/>
        <w:jc w:val="both"/>
      </w:pPr>
      <w:r>
        <w:rPr>
          <w:rFonts w:ascii="Calibri" w:cs="Calibri" w:eastAsia="Calibri" w:hAnsi="Calibri"/>
          <w:sz w:val="22"/>
          <w:szCs w:val="22"/>
        </w:rPr>
        <w:t xml:space="preserve">These priorities shall be reviewed by the Scientific Committee every three years, or as needed, and approved by the Board of Directors.</w:t>
      </w:r>
    </w:p>
    <w:p>
      <w:pPr>
        <w:pStyle w:val="Heading1"/>
        <w:keepNext/>
        <w:pBdr>
          <w:bottom w:val="single" w:color="B08D3E" w:sz="8" w:space="4"/>
        </w:pBdr>
        <w:spacing w:after="200" w:before="420"/>
      </w:pPr>
      <w:bookmarkStart w:name="sec1009" w:id="1"/>
      <w:r>
        <w:rPr>
          <w:rFonts w:ascii="Calibri" w:cs="Calibri" w:eastAsia="Calibri" w:hAnsi="Calibri"/>
          <w:b/>
          <w:bCs/>
          <w:color w:val="1F4E5F"/>
          <w:sz w:val="30"/>
          <w:szCs w:val="30"/>
        </w:rPr>
        <w:t xml:space="preserve">7. Research Ethics</w:t>
      </w:r>
      <w:bookmarkEnd w:id="1"/>
    </w:p>
    <w:p>
      <w:pPr>
        <w:spacing w:after="160" w:line="300"/>
        <w:jc w:val="both"/>
      </w:pPr>
      <w:r>
        <w:rPr>
          <w:rFonts w:ascii="Calibri" w:cs="Calibri" w:eastAsia="Calibri" w:hAnsi="Calibri"/>
          <w:sz w:val="22"/>
          <w:szCs w:val="22"/>
        </w:rPr>
        <w:t xml:space="preserve">Every research project conducted under the Society's umbrella shall adhere to the following:</w:t>
      </w:r>
    </w:p>
    <w:p>
      <w:pPr>
        <w:pStyle w:val="ListParagraph"/>
        <w:numPr>
          <w:ilvl w:val="0"/>
          <w:numId w:val="5"/>
        </w:numPr>
        <w:spacing w:after="100" w:line="300"/>
        <w:jc w:val="both"/>
      </w:pPr>
      <w:r>
        <w:rPr>
          <w:rFonts w:ascii="Calibri" w:cs="Calibri" w:eastAsia="Calibri" w:hAnsi="Calibri"/>
          <w:sz w:val="22"/>
          <w:szCs w:val="22"/>
        </w:rPr>
        <w:t xml:space="preserve">Obtaining approval from an accredited research ethics committee (IRB) of the Saudi Food and Drug Authority prior to any data collection or participant recruitment.</w:t>
      </w:r>
    </w:p>
    <w:p>
      <w:pPr>
        <w:pStyle w:val="ListParagraph"/>
        <w:numPr>
          <w:ilvl w:val="0"/>
          <w:numId w:val="5"/>
        </w:numPr>
        <w:spacing w:after="100" w:line="300"/>
        <w:jc w:val="both"/>
      </w:pPr>
      <w:r>
        <w:rPr>
          <w:rFonts w:ascii="Calibri" w:cs="Calibri" w:eastAsia="Calibri" w:hAnsi="Calibri"/>
          <w:sz w:val="22"/>
          <w:szCs w:val="22"/>
        </w:rPr>
        <w:t xml:space="preserve">Applying the principle of written informed consent for participants, with due consideration for exemption cases as determined by the ethics committee (such as retrospective studies on de-identified data).</w:t>
      </w:r>
    </w:p>
    <w:p>
      <w:pPr>
        <w:pStyle w:val="ListParagraph"/>
        <w:numPr>
          <w:ilvl w:val="0"/>
          <w:numId w:val="5"/>
        </w:numPr>
        <w:spacing w:after="100" w:line="300"/>
        <w:jc w:val="both"/>
      </w:pPr>
      <w:r>
        <w:rPr>
          <w:rFonts w:ascii="Calibri" w:cs="Calibri" w:eastAsia="Calibri" w:hAnsi="Calibri"/>
          <w:sz w:val="22"/>
          <w:szCs w:val="22"/>
        </w:rPr>
        <w:t xml:space="preserve">Protecting patients' privacy and the confidentiality of their health data in accordance with the Saudi Personal Data Protection Law (PDPL).</w:t>
      </w:r>
    </w:p>
    <w:p>
      <w:pPr>
        <w:pStyle w:val="ListParagraph"/>
        <w:numPr>
          <w:ilvl w:val="0"/>
          <w:numId w:val="5"/>
        </w:numPr>
        <w:spacing w:after="100" w:line="300"/>
        <w:jc w:val="both"/>
      </w:pPr>
      <w:r>
        <w:rPr>
          <w:rFonts w:ascii="Calibri" w:cs="Calibri" w:eastAsia="Calibri" w:hAnsi="Calibri"/>
          <w:sz w:val="22"/>
          <w:szCs w:val="22"/>
        </w:rPr>
        <w:t xml:space="preserve">Observing the principles of the Declaration of Helsinki as an international ethical reference framework.</w:t>
      </w:r>
    </w:p>
    <w:p>
      <w:pPr>
        <w:pStyle w:val="ListParagraph"/>
        <w:numPr>
          <w:ilvl w:val="0"/>
          <w:numId w:val="5"/>
        </w:numPr>
        <w:spacing w:after="100" w:line="300"/>
        <w:jc w:val="both"/>
      </w:pPr>
      <w:r>
        <w:rPr>
          <w:rFonts w:ascii="Calibri" w:cs="Calibri" w:eastAsia="Calibri" w:hAnsi="Calibri"/>
          <w:sz w:val="22"/>
          <w:szCs w:val="22"/>
        </w:rPr>
        <w:t xml:space="preserve">Giving particular priority to protecting vulnerable populations, especially in studies related to end-of-life care or advanced disease stages.</w:t>
      </w:r>
    </w:p>
    <w:p>
      <w:pPr>
        <w:pStyle w:val="ListParagraph"/>
        <w:numPr>
          <w:ilvl w:val="0"/>
          <w:numId w:val="5"/>
        </w:numPr>
        <w:spacing w:after="100" w:line="300"/>
        <w:jc w:val="both"/>
      </w:pPr>
      <w:r>
        <w:rPr>
          <w:rFonts w:ascii="Calibri" w:cs="Calibri" w:eastAsia="Calibri" w:hAnsi="Calibri"/>
          <w:sz w:val="22"/>
          <w:szCs w:val="22"/>
        </w:rPr>
        <w:t xml:space="preserve">Not commencing any interventional research activity without registering it in a recognized clinical trials registry where applicable.</w:t>
      </w:r>
    </w:p>
    <w:p>
      <w:pPr>
        <w:pStyle w:val="Heading1"/>
        <w:keepNext/>
        <w:pBdr>
          <w:bottom w:val="single" w:color="B08D3E" w:sz="8" w:space="4"/>
        </w:pBdr>
        <w:spacing w:after="200" w:before="420"/>
      </w:pPr>
      <w:bookmarkStart w:name="sec1010" w:id="1"/>
      <w:r>
        <w:rPr>
          <w:rFonts w:ascii="Calibri" w:cs="Calibri" w:eastAsia="Calibri" w:hAnsi="Calibri"/>
          <w:b/>
          <w:bCs/>
          <w:color w:val="1F4E5F"/>
          <w:sz w:val="30"/>
          <w:szCs w:val="30"/>
        </w:rPr>
        <w:t xml:space="preserve">8. Conflict of Interest</w:t>
      </w:r>
      <w:bookmarkEnd w:id="1"/>
    </w:p>
    <w:p>
      <w:pPr>
        <w:spacing w:after="160" w:line="300"/>
        <w:jc w:val="both"/>
      </w:pPr>
      <w:r>
        <w:rPr>
          <w:rFonts w:ascii="Calibri" w:cs="Calibri" w:eastAsia="Calibri" w:hAnsi="Calibri"/>
          <w:sz w:val="22"/>
          <w:szCs w:val="22"/>
        </w:rPr>
        <w:t xml:space="preserve">All researchers and Scientific Committee members shall provide written disclosure of any actual or potential conflict of interest, financial or non-financial, related to the research project, including, for example:</w:t>
      </w:r>
    </w:p>
    <w:p>
      <w:pPr>
        <w:pStyle w:val="ListParagraph"/>
        <w:numPr>
          <w:ilvl w:val="0"/>
          <w:numId w:val="3"/>
        </w:numPr>
        <w:spacing w:after="100" w:line="300"/>
        <w:jc w:val="both"/>
      </w:pPr>
      <w:r>
        <w:rPr>
          <w:rFonts w:ascii="Calibri" w:cs="Calibri" w:eastAsia="Calibri" w:hAnsi="Calibri"/>
          <w:sz w:val="22"/>
          <w:szCs w:val="22"/>
        </w:rPr>
        <w:t xml:space="preserve">Financial relationships with pharmaceutical or medical device companies relevant to the research subject matter.</w:t>
      </w:r>
    </w:p>
    <w:p>
      <w:pPr>
        <w:pStyle w:val="ListParagraph"/>
        <w:numPr>
          <w:ilvl w:val="0"/>
          <w:numId w:val="3"/>
        </w:numPr>
        <w:spacing w:after="100" w:line="300"/>
        <w:jc w:val="both"/>
      </w:pPr>
      <w:r>
        <w:rPr>
          <w:rFonts w:ascii="Calibri" w:cs="Calibri" w:eastAsia="Calibri" w:hAnsi="Calibri"/>
          <w:sz w:val="22"/>
          <w:szCs w:val="22"/>
        </w:rPr>
        <w:t xml:space="preserve">Personal or professional interests that could influence the design of the research or the interpretation of its results.</w:t>
      </w:r>
    </w:p>
    <w:p>
      <w:pPr>
        <w:pStyle w:val="ListParagraph"/>
        <w:numPr>
          <w:ilvl w:val="0"/>
          <w:numId w:val="3"/>
        </w:numPr>
        <w:spacing w:after="100" w:line="300"/>
        <w:jc w:val="both"/>
      </w:pPr>
      <w:r>
        <w:rPr>
          <w:rFonts w:ascii="Calibri" w:cs="Calibri" w:eastAsia="Calibri" w:hAnsi="Calibri"/>
          <w:sz w:val="22"/>
          <w:szCs w:val="22"/>
        </w:rPr>
        <w:t xml:space="preserve">Membership on the Scientific Committee when reviewing a proposal in which the member is a participant, in which case the member shall be recused from the review and voting process.</w:t>
      </w:r>
    </w:p>
    <w:p>
      <w:pPr>
        <w:spacing w:after="160" w:line="300"/>
        <w:jc w:val="both"/>
      </w:pPr>
      <w:r>
        <w:rPr>
          <w:rFonts w:ascii="Calibri" w:cs="Calibri" w:eastAsia="Calibri" w:hAnsi="Calibri"/>
          <w:sz w:val="22"/>
          <w:szCs w:val="22"/>
        </w:rPr>
        <w:t xml:space="preserve">The Scientific Committee shall maintain a record of disclosures, review it periodically, and take appropriate action where a substantive conflict exists, which may extend to excluding the researcher from the project.</w:t>
      </w:r>
    </w:p>
    <w:p>
      <w:pPr>
        <w:pStyle w:val="Heading1"/>
        <w:keepNext/>
        <w:pBdr>
          <w:bottom w:val="single" w:color="B08D3E" w:sz="8" w:space="4"/>
        </w:pBdr>
        <w:spacing w:after="200" w:before="420"/>
      </w:pPr>
      <w:bookmarkStart w:name="sec1011" w:id="1"/>
      <w:r>
        <w:rPr>
          <w:rFonts w:ascii="Calibri" w:cs="Calibri" w:eastAsia="Calibri" w:hAnsi="Calibri"/>
          <w:b/>
          <w:bCs/>
          <w:color w:val="1F4E5F"/>
          <w:sz w:val="30"/>
          <w:szCs w:val="30"/>
        </w:rPr>
        <w:t xml:space="preserve">9. Authorship and Publication Policy</w:t>
      </w:r>
      <w:bookmarkEnd w:id="1"/>
    </w:p>
    <w:p>
      <w:pPr>
        <w:spacing w:after="160" w:line="300"/>
        <w:jc w:val="both"/>
      </w:pPr>
      <w:r>
        <w:rPr>
          <w:rFonts w:ascii="Calibri" w:cs="Calibri" w:eastAsia="Calibri" w:hAnsi="Calibri"/>
          <w:sz w:val="22"/>
          <w:szCs w:val="22"/>
        </w:rPr>
        <w:t xml:space="preserve">The Society adopts the criteria of the International Committee of Medical Journal Editors (ICMJE) for determining authorship, which require that each author satisfy all of the following conditions:</w:t>
      </w:r>
    </w:p>
    <w:p>
      <w:pPr>
        <w:pStyle w:val="ListParagraph"/>
        <w:numPr>
          <w:ilvl w:val="0"/>
          <w:numId w:val="6"/>
        </w:numPr>
        <w:spacing w:after="100" w:line="300"/>
        <w:jc w:val="both"/>
      </w:pPr>
      <w:r>
        <w:rPr>
          <w:rFonts w:ascii="Calibri" w:cs="Calibri" w:eastAsia="Calibri" w:hAnsi="Calibri"/>
          <w:sz w:val="22"/>
          <w:szCs w:val="22"/>
        </w:rPr>
        <w:t xml:space="preserve">A substantial contribution to the design of the research, or to the acquisition, analysis, or interpretation of data.</w:t>
      </w:r>
    </w:p>
    <w:p>
      <w:pPr>
        <w:pStyle w:val="ListParagraph"/>
        <w:numPr>
          <w:ilvl w:val="0"/>
          <w:numId w:val="6"/>
        </w:numPr>
        <w:spacing w:after="100" w:line="300"/>
        <w:jc w:val="both"/>
      </w:pPr>
      <w:r>
        <w:rPr>
          <w:rFonts w:ascii="Calibri" w:cs="Calibri" w:eastAsia="Calibri" w:hAnsi="Calibri"/>
          <w:sz w:val="22"/>
          <w:szCs w:val="22"/>
        </w:rPr>
        <w:t xml:space="preserve">Participation in drafting the scientific manuscript or critically revising it for important intellectual content.</w:t>
      </w:r>
    </w:p>
    <w:p>
      <w:pPr>
        <w:pStyle w:val="ListParagraph"/>
        <w:numPr>
          <w:ilvl w:val="0"/>
          <w:numId w:val="6"/>
        </w:numPr>
        <w:spacing w:after="100" w:line="300"/>
        <w:jc w:val="both"/>
      </w:pPr>
      <w:r>
        <w:rPr>
          <w:rFonts w:ascii="Calibri" w:cs="Calibri" w:eastAsia="Calibri" w:hAnsi="Calibri"/>
          <w:sz w:val="22"/>
          <w:szCs w:val="22"/>
        </w:rPr>
        <w:t xml:space="preserve">Final approval of the version to be published.</w:t>
      </w:r>
    </w:p>
    <w:p>
      <w:pPr>
        <w:pStyle w:val="ListParagraph"/>
        <w:numPr>
          <w:ilvl w:val="0"/>
          <w:numId w:val="6"/>
        </w:numPr>
        <w:spacing w:after="100" w:line="300"/>
        <w:jc w:val="both"/>
      </w:pPr>
      <w:r>
        <w:rPr>
          <w:rFonts w:ascii="Calibri" w:cs="Calibri" w:eastAsia="Calibri" w:hAnsi="Calibri"/>
          <w:sz w:val="22"/>
          <w:szCs w:val="22"/>
        </w:rPr>
        <w:t xml:space="preserve">Agreement to be accountable for all aspects of the work in ensuring that questions related to its accuracy or integrity are appropriately investigated and resolved.</w:t>
      </w:r>
    </w:p>
    <w:p>
      <w:pPr>
        <w:spacing w:after="160" w:line="300"/>
        <w:jc w:val="both"/>
      </w:pPr>
      <w:r>
        <w:rPr>
          <w:rFonts w:ascii="Calibri" w:cs="Calibri" w:eastAsia="Calibri" w:hAnsi="Calibri"/>
          <w:sz w:val="22"/>
          <w:szCs w:val="22"/>
        </w:rPr>
        <w:t xml:space="preserve">The Society's name and its support (if any) shall be cited in the Acknowledgment section of all research arising from its activities, in the format specified by the Scientific Committee. Publication in reputable, peer-reviewed journals with a credible impact factor is encouraged, and the Society prohibits any form of publication in predatory journals.</w:t>
      </w:r>
    </w:p>
    <w:p>
      <w:pPr>
        <w:pStyle w:val="Heading1"/>
        <w:keepNext/>
        <w:pBdr>
          <w:bottom w:val="single" w:color="B08D3E" w:sz="8" w:space="4"/>
        </w:pBdr>
        <w:spacing w:after="200" w:before="420"/>
      </w:pPr>
      <w:bookmarkStart w:name="sec1012" w:id="1"/>
      <w:r>
        <w:rPr>
          <w:rFonts w:ascii="Calibri" w:cs="Calibri" w:eastAsia="Calibri" w:hAnsi="Calibri"/>
          <w:b/>
          <w:bCs/>
          <w:color w:val="1F4E5F"/>
          <w:sz w:val="30"/>
          <w:szCs w:val="30"/>
        </w:rPr>
        <w:t xml:space="preserve">10. Research Integrity and Prevention of Research Misconduct</w:t>
      </w:r>
      <w:bookmarkEnd w:id="1"/>
    </w:p>
    <w:p>
      <w:pPr>
        <w:spacing w:after="160" w:line="300"/>
        <w:jc w:val="both"/>
      </w:pPr>
      <w:r>
        <w:rPr>
          <w:rFonts w:ascii="Calibri" w:cs="Calibri" w:eastAsia="Calibri" w:hAnsi="Calibri"/>
          <w:sz w:val="22"/>
          <w:szCs w:val="22"/>
        </w:rPr>
        <w:t xml:space="preserve">The Society maintains a zero-tolerance policy toward any form of research misconduct, including:</w:t>
      </w:r>
    </w:p>
    <w:p>
      <w:pPr>
        <w:pStyle w:val="ListParagraph"/>
        <w:numPr>
          <w:ilvl w:val="0"/>
          <w:numId w:val="3"/>
        </w:numPr>
        <w:spacing w:after="100" w:line="300"/>
        <w:jc w:val="both"/>
      </w:pPr>
      <w:r>
        <w:rPr>
          <w:rFonts w:ascii="Calibri" w:cs="Calibri" w:eastAsia="Calibri" w:hAnsi="Calibri"/>
          <w:sz w:val="22"/>
          <w:szCs w:val="22"/>
        </w:rPr>
        <w:t xml:space="preserve">Fabrication or falsification of data.</w:t>
      </w:r>
    </w:p>
    <w:p>
      <w:pPr>
        <w:pStyle w:val="ListParagraph"/>
        <w:numPr>
          <w:ilvl w:val="0"/>
          <w:numId w:val="3"/>
        </w:numPr>
        <w:spacing w:after="100" w:line="300"/>
        <w:jc w:val="both"/>
      </w:pPr>
      <w:r>
        <w:rPr>
          <w:rFonts w:ascii="Calibri" w:cs="Calibri" w:eastAsia="Calibri" w:hAnsi="Calibri"/>
          <w:sz w:val="22"/>
          <w:szCs w:val="22"/>
        </w:rPr>
        <w:t xml:space="preserve">Plagiarism, in any degree.</w:t>
      </w:r>
    </w:p>
    <w:p>
      <w:pPr>
        <w:pStyle w:val="ListParagraph"/>
        <w:numPr>
          <w:ilvl w:val="0"/>
          <w:numId w:val="3"/>
        </w:numPr>
        <w:spacing w:after="100" w:line="300"/>
        <w:jc w:val="both"/>
      </w:pPr>
      <w:r>
        <w:rPr>
          <w:rFonts w:ascii="Calibri" w:cs="Calibri" w:eastAsia="Calibri" w:hAnsi="Calibri"/>
          <w:sz w:val="22"/>
          <w:szCs w:val="22"/>
        </w:rPr>
        <w:t xml:space="preserve">Duplicate publication or unjustified fragmentation of a single study into multiple publications ("salami slicing").</w:t>
      </w:r>
    </w:p>
    <w:p>
      <w:pPr>
        <w:pStyle w:val="ListParagraph"/>
        <w:numPr>
          <w:ilvl w:val="0"/>
          <w:numId w:val="3"/>
        </w:numPr>
        <w:spacing w:after="100" w:line="300"/>
        <w:jc w:val="both"/>
      </w:pPr>
      <w:r>
        <w:rPr>
          <w:rFonts w:ascii="Calibri" w:cs="Calibri" w:eastAsia="Calibri" w:hAnsi="Calibri"/>
          <w:sz w:val="22"/>
          <w:szCs w:val="22"/>
        </w:rPr>
        <w:t xml:space="preserve">Granting authorship to individuals who do not meet its criteria, or denying it to those who do.</w:t>
      </w:r>
    </w:p>
    <w:p>
      <w:pPr>
        <w:spacing w:after="160" w:line="300"/>
        <w:jc w:val="both"/>
      </w:pPr>
      <w:r>
        <w:rPr>
          <w:rFonts w:ascii="Calibri" w:cs="Calibri" w:eastAsia="Calibri" w:hAnsi="Calibri"/>
          <w:sz w:val="22"/>
          <w:szCs w:val="22"/>
        </w:rPr>
        <w:t xml:space="preserve">The Scientific Committee shall establish a clear mechanism for receiving and investigating reports of research misconduct confidentially and objectively, and shall refer its recommendations to the Board of Directors for appropriate action, which may include a formal warning, suspension of research support, or notification of relevant authorities.</w:t>
      </w:r>
    </w:p>
    <w:p>
      <w:pPr>
        <w:pStyle w:val="Heading1"/>
        <w:keepNext/>
        <w:pBdr>
          <w:bottom w:val="single" w:color="B08D3E" w:sz="8" w:space="4"/>
        </w:pBdr>
        <w:spacing w:after="200" w:before="420"/>
      </w:pPr>
      <w:bookmarkStart w:name="sec1013" w:id="1"/>
      <w:r>
        <w:rPr>
          <w:rFonts w:ascii="Calibri" w:cs="Calibri" w:eastAsia="Calibri" w:hAnsi="Calibri"/>
          <w:b/>
          <w:bCs/>
          <w:color w:val="1F4E5F"/>
          <w:sz w:val="30"/>
          <w:szCs w:val="30"/>
        </w:rPr>
        <w:t xml:space="preserve">11. Data Management and Privacy Protection</w:t>
      </w:r>
      <w:bookmarkEnd w:id="1"/>
    </w:p>
    <w:p>
      <w:pPr>
        <w:pStyle w:val="ListParagraph"/>
        <w:numPr>
          <w:ilvl w:val="0"/>
          <w:numId w:val="7"/>
        </w:numPr>
        <w:spacing w:after="100" w:line="300"/>
        <w:jc w:val="both"/>
      </w:pPr>
      <w:r>
        <w:rPr>
          <w:rFonts w:ascii="Calibri" w:cs="Calibri" w:eastAsia="Calibri" w:hAnsi="Calibri"/>
          <w:sz w:val="22"/>
          <w:szCs w:val="22"/>
        </w:rPr>
        <w:t xml:space="preserve">Research data shall be stored securely and encrypted, with identifying information separated from research data wherever possible.</w:t>
      </w:r>
    </w:p>
    <w:p>
      <w:pPr>
        <w:pStyle w:val="ListParagraph"/>
        <w:numPr>
          <w:ilvl w:val="0"/>
          <w:numId w:val="7"/>
        </w:numPr>
        <w:spacing w:after="100" w:line="300"/>
        <w:jc w:val="both"/>
      </w:pPr>
      <w:r>
        <w:rPr>
          <w:rFonts w:ascii="Calibri" w:cs="Calibri" w:eastAsia="Calibri" w:hAnsi="Calibri"/>
          <w:sz w:val="22"/>
          <w:szCs w:val="22"/>
        </w:rPr>
        <w:t xml:space="preserve">Researchers shall comply with the Personal Data Protection Law (PDPL) when collecting, processing, or transferring any health data of patients.</w:t>
      </w:r>
    </w:p>
    <w:p>
      <w:pPr>
        <w:pStyle w:val="ListParagraph"/>
        <w:numPr>
          <w:ilvl w:val="0"/>
          <w:numId w:val="7"/>
        </w:numPr>
        <w:spacing w:after="100" w:line="300"/>
        <w:jc w:val="both"/>
      </w:pPr>
      <w:r>
        <w:rPr>
          <w:rFonts w:ascii="Calibri" w:cs="Calibri" w:eastAsia="Calibri" w:hAnsi="Calibri"/>
          <w:sz w:val="22"/>
          <w:szCs w:val="22"/>
        </w:rPr>
        <w:t xml:space="preserve">The retention period for research data shall be determined according to the requirements of the approving ethics committee, and shall not be less than the statutory minimum period.</w:t>
      </w:r>
    </w:p>
    <w:p>
      <w:pPr>
        <w:pStyle w:val="ListParagraph"/>
        <w:numPr>
          <w:ilvl w:val="0"/>
          <w:numId w:val="7"/>
        </w:numPr>
        <w:spacing w:after="100" w:line="300"/>
        <w:jc w:val="both"/>
      </w:pPr>
      <w:r>
        <w:rPr>
          <w:rFonts w:ascii="Calibri" w:cs="Calibri" w:eastAsia="Calibri" w:hAnsi="Calibri"/>
          <w:sz w:val="22"/>
          <w:szCs w:val="22"/>
        </w:rPr>
        <w:t xml:space="preserve">Participant data shall not be shared with any external party (including international entities) without explicit approval from the ethics committee and, where applicable, the participants themselves.</w:t>
      </w:r>
    </w:p>
    <w:p>
      <w:pPr>
        <w:pStyle w:val="Heading1"/>
        <w:keepNext/>
        <w:pBdr>
          <w:bottom w:val="single" w:color="B08D3E" w:sz="8" w:space="4"/>
        </w:pBdr>
        <w:spacing w:after="200" w:before="420"/>
      </w:pPr>
      <w:bookmarkStart w:name="sec1014" w:id="1"/>
      <w:r>
        <w:rPr>
          <w:rFonts w:ascii="Calibri" w:cs="Calibri" w:eastAsia="Calibri" w:hAnsi="Calibri"/>
          <w:b/>
          <w:bCs/>
          <w:color w:val="1F4E5F"/>
          <w:sz w:val="30"/>
          <w:szCs w:val="30"/>
        </w:rPr>
        <w:t xml:space="preserve">12. Funding and Research Grants</w:t>
      </w:r>
      <w:bookmarkEnd w:id="1"/>
    </w:p>
    <w:p>
      <w:pPr>
        <w:pStyle w:val="ListParagraph"/>
        <w:numPr>
          <w:ilvl w:val="0"/>
          <w:numId w:val="8"/>
        </w:numPr>
        <w:spacing w:after="100" w:line="300"/>
        <w:jc w:val="both"/>
      </w:pPr>
      <w:r>
        <w:rPr>
          <w:rFonts w:ascii="Calibri" w:cs="Calibri" w:eastAsia="Calibri" w:hAnsi="Calibri"/>
          <w:sz w:val="22"/>
          <w:szCs w:val="22"/>
        </w:rPr>
        <w:t xml:space="preserve">The Society may provide financial or in-kind support (internal research grants) for priority research projects, through a transparent, competitive mechanism overseen by the Scientific Committee.</w:t>
      </w:r>
    </w:p>
    <w:p>
      <w:pPr>
        <w:pStyle w:val="ListParagraph"/>
        <w:numPr>
          <w:ilvl w:val="0"/>
          <w:numId w:val="8"/>
        </w:numPr>
        <w:spacing w:after="100" w:line="300"/>
        <w:jc w:val="both"/>
      </w:pPr>
      <w:r>
        <w:rPr>
          <w:rFonts w:ascii="Calibri" w:cs="Calibri" w:eastAsia="Calibri" w:hAnsi="Calibri"/>
          <w:sz w:val="22"/>
          <w:szCs w:val="22"/>
        </w:rPr>
        <w:t xml:space="preserve">Full disclosure of any external funding (industry, government, or non-profit) is required at all stages of the research and publication process.</w:t>
      </w:r>
    </w:p>
    <w:p>
      <w:pPr>
        <w:pStyle w:val="ListParagraph"/>
        <w:numPr>
          <w:ilvl w:val="0"/>
          <w:numId w:val="8"/>
        </w:numPr>
        <w:spacing w:after="100" w:line="300"/>
        <w:jc w:val="both"/>
      </w:pPr>
      <w:r>
        <w:rPr>
          <w:rFonts w:ascii="Calibri" w:cs="Calibri" w:eastAsia="Calibri" w:hAnsi="Calibri"/>
          <w:sz w:val="22"/>
          <w:szCs w:val="22"/>
        </w:rPr>
        <w:t xml:space="preserve">No funding entity may impose restrictions on the publication of scientific results, regardless of their direction or conclusions.</w:t>
      </w:r>
    </w:p>
    <w:p>
      <w:pPr>
        <w:pStyle w:val="ListParagraph"/>
        <w:numPr>
          <w:ilvl w:val="0"/>
          <w:numId w:val="8"/>
        </w:numPr>
        <w:spacing w:after="100" w:line="300"/>
        <w:jc w:val="both"/>
      </w:pPr>
      <w:r>
        <w:rPr>
          <w:rFonts w:ascii="Calibri" w:cs="Calibri" w:eastAsia="Calibri" w:hAnsi="Calibri"/>
          <w:sz w:val="22"/>
          <w:szCs w:val="22"/>
        </w:rPr>
        <w:t xml:space="preserve">A percentage of the Society's annual budget — determined by the Board of Directors upon the recommendation of the Scientific Committee — shall be allocated to support research activities and internal grants.</w:t>
      </w:r>
    </w:p>
    <w:p>
      <w:pPr>
        <w:pStyle w:val="Heading1"/>
        <w:keepNext/>
        <w:pBdr>
          <w:bottom w:val="single" w:color="B08D3E" w:sz="8" w:space="4"/>
        </w:pBdr>
        <w:spacing w:after="200" w:before="420"/>
      </w:pPr>
      <w:bookmarkStart w:name="sec1015" w:id="1"/>
      <w:r>
        <w:rPr>
          <w:rFonts w:ascii="Calibri" w:cs="Calibri" w:eastAsia="Calibri" w:hAnsi="Calibri"/>
          <w:b/>
          <w:bCs/>
          <w:color w:val="1F4E5F"/>
          <w:sz w:val="30"/>
          <w:szCs w:val="30"/>
        </w:rPr>
        <w:t xml:space="preserve">13. Intellectual Property</w:t>
      </w:r>
      <w:bookmarkEnd w:id="1"/>
    </w:p>
    <w:p>
      <w:pPr>
        <w:spacing w:after="160" w:line="300"/>
        <w:jc w:val="both"/>
      </w:pPr>
      <w:r>
        <w:rPr>
          <w:rFonts w:ascii="Calibri" w:cs="Calibri" w:eastAsia="Calibri" w:hAnsi="Calibri"/>
          <w:sz w:val="22"/>
          <w:szCs w:val="22"/>
        </w:rPr>
        <w:t xml:space="preserve">Intellectual property rights for research output produced with direct support from the Society (such as national registries or internally funded projects) shall belong to the Society and the participating researchers, in accordance with a written agreement whose terms are determined prior to the commencement of the project, while safeguarding researchers' academic publication rights and freedom of scientific publication.</w:t>
      </w:r>
    </w:p>
    <w:p>
      <w:pPr>
        <w:pStyle w:val="Heading1"/>
        <w:keepNext/>
        <w:pBdr>
          <w:bottom w:val="single" w:color="B08D3E" w:sz="8" w:space="4"/>
        </w:pBdr>
        <w:spacing w:after="200" w:before="420"/>
      </w:pPr>
      <w:bookmarkStart w:name="sec1016" w:id="1"/>
      <w:r>
        <w:rPr>
          <w:rFonts w:ascii="Calibri" w:cs="Calibri" w:eastAsia="Calibri" w:hAnsi="Calibri"/>
          <w:b/>
          <w:bCs/>
          <w:color w:val="1F4E5F"/>
          <w:sz w:val="30"/>
          <w:szCs w:val="30"/>
        </w:rPr>
        <w:t xml:space="preserve">14. Local and International Research Collaboration</w:t>
      </w:r>
      <w:bookmarkEnd w:id="1"/>
    </w:p>
    <w:p>
      <w:pPr>
        <w:pStyle w:val="ListParagraph"/>
        <w:numPr>
          <w:ilvl w:val="0"/>
          <w:numId w:val="9"/>
        </w:numPr>
        <w:spacing w:after="100" w:line="300"/>
        <w:jc w:val="both"/>
      </w:pPr>
      <w:r>
        <w:rPr>
          <w:rFonts w:ascii="Calibri" w:cs="Calibri" w:eastAsia="Calibri" w:hAnsi="Calibri"/>
          <w:sz w:val="22"/>
          <w:szCs w:val="22"/>
        </w:rPr>
        <w:t xml:space="preserve">The Society encourages research partnerships with universities, cancer centers, and peer scientific societies at the regional and international levels.</w:t>
      </w:r>
    </w:p>
    <w:p>
      <w:pPr>
        <w:pStyle w:val="ListParagraph"/>
        <w:numPr>
          <w:ilvl w:val="0"/>
          <w:numId w:val="9"/>
        </w:numPr>
        <w:spacing w:after="100" w:line="300"/>
        <w:jc w:val="both"/>
      </w:pPr>
      <w:r>
        <w:rPr>
          <w:rFonts w:ascii="Calibri" w:cs="Calibri" w:eastAsia="Calibri" w:hAnsi="Calibri"/>
          <w:sz w:val="22"/>
          <w:szCs w:val="22"/>
        </w:rPr>
        <w:t xml:space="preserve">Any research partnership shall be governed by a research collaboration agreement (MOU / Research Agreement) that defines roles, obligations, publication rights, and intellectual property.</w:t>
      </w:r>
    </w:p>
    <w:p>
      <w:pPr>
        <w:pStyle w:val="ListParagraph"/>
        <w:numPr>
          <w:ilvl w:val="0"/>
          <w:numId w:val="9"/>
        </w:numPr>
        <w:spacing w:after="100" w:line="300"/>
        <w:jc w:val="both"/>
      </w:pPr>
      <w:r>
        <w:rPr>
          <w:rFonts w:ascii="Calibri" w:cs="Calibri" w:eastAsia="Calibri" w:hAnsi="Calibri"/>
          <w:sz w:val="22"/>
          <w:szCs w:val="22"/>
        </w:rPr>
        <w:t xml:space="preserve">The Society gives priority to participation in registries and multi-center studies that serve a better understanding of the reality of gynecologic cancers in the Kingdom and the region.</w:t>
      </w:r>
    </w:p>
    <w:p>
      <w:pPr>
        <w:pStyle w:val="Heading1"/>
        <w:keepNext/>
        <w:pBdr>
          <w:bottom w:val="single" w:color="B08D3E" w:sz="8" w:space="4"/>
        </w:pBdr>
        <w:spacing w:after="200" w:before="420"/>
      </w:pPr>
      <w:bookmarkStart w:name="sec1017" w:id="1"/>
      <w:r>
        <w:rPr>
          <w:rFonts w:ascii="Calibri" w:cs="Calibri" w:eastAsia="Calibri" w:hAnsi="Calibri"/>
          <w:b/>
          <w:bCs/>
          <w:color w:val="1F4E5F"/>
          <w:sz w:val="30"/>
          <w:szCs w:val="30"/>
        </w:rPr>
        <w:t xml:space="preserve">15. Research Proposal Submission and Approval Process</w:t>
      </w:r>
      <w:bookmarkEnd w:id="1"/>
    </w:p>
    <w:p>
      <w:pPr>
        <w:spacing w:after="160" w:line="300"/>
        <w:jc w:val="both"/>
      </w:pPr>
      <w:r>
        <w:rPr>
          <w:rFonts w:ascii="Calibri" w:cs="Calibri" w:eastAsia="Calibri" w:hAnsi="Calibri"/>
          <w:sz w:val="22"/>
          <w:szCs w:val="22"/>
        </w:rPr>
        <w:t xml:space="preserve">Research proposals seeking approval under the Society's umbrella shall proceed through the following stages:</w:t>
      </w:r>
    </w:p>
    <w:p>
      <w:pPr>
        <w:pStyle w:val="ListParagraph"/>
        <w:numPr>
          <w:ilvl w:val="0"/>
          <w:numId w:val="10"/>
        </w:numPr>
        <w:spacing w:after="100" w:line="300"/>
        <w:jc w:val="both"/>
      </w:pPr>
      <w:r>
        <w:rPr>
          <w:rFonts w:ascii="Calibri" w:cs="Calibri" w:eastAsia="Calibri" w:hAnsi="Calibri"/>
          <w:sz w:val="22"/>
          <w:szCs w:val="22"/>
        </w:rPr>
        <w:t xml:space="preserve">Submission of a concept note to the Scientific Committee via the approved template.</w:t>
      </w:r>
    </w:p>
    <w:p>
      <w:pPr>
        <w:pStyle w:val="ListParagraph"/>
        <w:numPr>
          <w:ilvl w:val="0"/>
          <w:numId w:val="10"/>
        </w:numPr>
        <w:spacing w:after="100" w:line="300"/>
        <w:jc w:val="both"/>
      </w:pPr>
      <w:r>
        <w:rPr>
          <w:rFonts w:ascii="Calibri" w:cs="Calibri" w:eastAsia="Calibri" w:hAnsi="Calibri"/>
          <w:sz w:val="22"/>
          <w:szCs w:val="22"/>
        </w:rPr>
        <w:t xml:space="preserve">Initial review by the Scientific Committee to confirm alignment with the Society's priorities and research methodology.</w:t>
      </w:r>
    </w:p>
    <w:p>
      <w:pPr>
        <w:pStyle w:val="ListParagraph"/>
        <w:numPr>
          <w:ilvl w:val="0"/>
          <w:numId w:val="10"/>
        </w:numPr>
        <w:spacing w:after="100" w:line="300"/>
        <w:jc w:val="both"/>
      </w:pPr>
      <w:r>
        <w:rPr>
          <w:rFonts w:ascii="Calibri" w:cs="Calibri" w:eastAsia="Calibri" w:hAnsi="Calibri"/>
          <w:sz w:val="22"/>
          <w:szCs w:val="22"/>
        </w:rPr>
        <w:t xml:space="preserve">Submission of the detailed protocol accompanied by approval from the research ethics committee (IRB).</w:t>
      </w:r>
    </w:p>
    <w:p>
      <w:pPr>
        <w:pStyle w:val="ListParagraph"/>
        <w:numPr>
          <w:ilvl w:val="0"/>
          <w:numId w:val="10"/>
        </w:numPr>
        <w:spacing w:after="100" w:line="300"/>
        <w:jc w:val="both"/>
      </w:pPr>
      <w:r>
        <w:rPr>
          <w:rFonts w:ascii="Calibri" w:cs="Calibri" w:eastAsia="Calibri" w:hAnsi="Calibri"/>
          <w:sz w:val="22"/>
          <w:szCs w:val="22"/>
        </w:rPr>
        <w:t xml:space="preserve">Final approval by the Scientific Committee, and documentation in the Society's research project registry.</w:t>
      </w:r>
    </w:p>
    <w:p>
      <w:pPr>
        <w:pStyle w:val="ListParagraph"/>
        <w:numPr>
          <w:ilvl w:val="0"/>
          <w:numId w:val="10"/>
        </w:numPr>
        <w:spacing w:after="100" w:line="300"/>
        <w:jc w:val="both"/>
      </w:pPr>
      <w:r>
        <w:rPr>
          <w:rFonts w:ascii="Calibri" w:cs="Calibri" w:eastAsia="Calibri" w:hAnsi="Calibri"/>
          <w:sz w:val="22"/>
          <w:szCs w:val="22"/>
        </w:rPr>
        <w:t xml:space="preserve">Commencement of implementation, with periodic progress reports submitted as determined by the Committee.</w:t>
      </w:r>
    </w:p>
    <w:p>
      <w:pPr>
        <w:pStyle w:val="Heading1"/>
        <w:keepNext/>
        <w:pBdr>
          <w:bottom w:val="single" w:color="B08D3E" w:sz="8" w:space="4"/>
        </w:pBdr>
        <w:spacing w:after="200" w:before="420"/>
      </w:pPr>
      <w:bookmarkStart w:name="sec1018" w:id="1"/>
      <w:r>
        <w:rPr>
          <w:rFonts w:ascii="Calibri" w:cs="Calibri" w:eastAsia="Calibri" w:hAnsi="Calibri"/>
          <w:b/>
          <w:bCs/>
          <w:color w:val="1F4E5F"/>
          <w:sz w:val="30"/>
          <w:szCs w:val="30"/>
        </w:rPr>
        <w:t xml:space="preserve">16. Monitoring and Evaluation of Research Projects</w:t>
      </w:r>
      <w:bookmarkEnd w:id="1"/>
    </w:p>
    <w:p>
      <w:pPr>
        <w:spacing w:after="160" w:line="300"/>
        <w:jc w:val="both"/>
      </w:pPr>
      <w:r>
        <w:rPr>
          <w:rFonts w:ascii="Calibri" w:cs="Calibri" w:eastAsia="Calibri" w:hAnsi="Calibri"/>
          <w:sz w:val="22"/>
          <w:szCs w:val="22"/>
        </w:rPr>
        <w:t xml:space="preserve">The Scientific Committee shall monitor the progress of approved projects through periodic reports (at least semi-annual) submitted by the Principal Investigator, covering: percentage of completion, challenges encountered, adherence to the approved ethical protocol, and scientific outputs (publications, conference presentations). The Committee may suspend support for any project shown to be stalled or in violation of this policy.</w:t>
      </w:r>
    </w:p>
    <w:p>
      <w:pPr>
        <w:pStyle w:val="Heading1"/>
        <w:keepNext/>
        <w:pBdr>
          <w:bottom w:val="single" w:color="B08D3E" w:sz="8" w:space="4"/>
        </w:pBdr>
        <w:spacing w:after="200" w:before="420"/>
      </w:pPr>
      <w:bookmarkStart w:name="sec1019" w:id="1"/>
      <w:r>
        <w:rPr>
          <w:rFonts w:ascii="Calibri" w:cs="Calibri" w:eastAsia="Calibri" w:hAnsi="Calibri"/>
          <w:b/>
          <w:bCs/>
          <w:color w:val="1F4E5F"/>
          <w:sz w:val="30"/>
          <w:szCs w:val="30"/>
        </w:rPr>
        <w:t xml:space="preserve">17. Research Capacity Building and Training</w:t>
      </w:r>
      <w:bookmarkEnd w:id="1"/>
    </w:p>
    <w:p>
      <w:pPr>
        <w:pStyle w:val="ListParagraph"/>
        <w:numPr>
          <w:ilvl w:val="0"/>
          <w:numId w:val="3"/>
        </w:numPr>
        <w:spacing w:after="100" w:line="300"/>
        <w:jc w:val="both"/>
      </w:pPr>
      <w:r>
        <w:rPr>
          <w:rFonts w:ascii="Calibri" w:cs="Calibri" w:eastAsia="Calibri" w:hAnsi="Calibri"/>
          <w:sz w:val="22"/>
          <w:szCs w:val="22"/>
        </w:rPr>
        <w:t xml:space="preserve">Organizing workshops and courses in research methodology, biostatistics, and scientific manuscript writing.</w:t>
      </w:r>
    </w:p>
    <w:p>
      <w:pPr>
        <w:pStyle w:val="ListParagraph"/>
        <w:numPr>
          <w:ilvl w:val="0"/>
          <w:numId w:val="3"/>
        </w:numPr>
        <w:spacing w:after="100" w:line="300"/>
        <w:jc w:val="both"/>
      </w:pPr>
      <w:r>
        <w:rPr>
          <w:rFonts w:ascii="Calibri" w:cs="Calibri" w:eastAsia="Calibri" w:hAnsi="Calibri"/>
          <w:sz w:val="22"/>
          <w:szCs w:val="22"/>
        </w:rPr>
        <w:t xml:space="preserve">Providing an academic mentorship program that links early-career researchers with experienced researchers.</w:t>
      </w:r>
    </w:p>
    <w:p>
      <w:pPr>
        <w:pStyle w:val="ListParagraph"/>
        <w:numPr>
          <w:ilvl w:val="0"/>
          <w:numId w:val="3"/>
        </w:numPr>
        <w:spacing w:after="100" w:line="300"/>
        <w:jc w:val="both"/>
      </w:pPr>
      <w:r>
        <w:rPr>
          <w:rFonts w:ascii="Calibri" w:cs="Calibri" w:eastAsia="Calibri" w:hAnsi="Calibri"/>
          <w:sz w:val="22"/>
          <w:szCs w:val="22"/>
        </w:rPr>
        <w:t xml:space="preserve">Supporting members' participation in scientific conferences to present their research output.</w:t>
      </w:r>
    </w:p>
    <w:p>
      <w:pPr>
        <w:pStyle w:val="Heading1"/>
        <w:keepNext/>
        <w:pBdr>
          <w:bottom w:val="single" w:color="B08D3E" w:sz="8" w:space="4"/>
        </w:pBdr>
        <w:spacing w:after="200" w:before="420"/>
      </w:pPr>
      <w:bookmarkStart w:name="sec1020" w:id="1"/>
      <w:r>
        <w:rPr>
          <w:rFonts w:ascii="Calibri" w:cs="Calibri" w:eastAsia="Calibri" w:hAnsi="Calibri"/>
          <w:b/>
          <w:bCs/>
          <w:color w:val="1F4E5F"/>
          <w:sz w:val="30"/>
          <w:szCs w:val="30"/>
        </w:rPr>
        <w:t xml:space="preserve">18. Recognition and Incentives</w:t>
      </w:r>
      <w:bookmarkEnd w:id="1"/>
    </w:p>
    <w:p>
      <w:pPr>
        <w:spacing w:after="160" w:line="300"/>
        <w:jc w:val="both"/>
      </w:pPr>
      <w:r>
        <w:rPr>
          <w:rFonts w:ascii="Calibri" w:cs="Calibri" w:eastAsia="Calibri" w:hAnsi="Calibri"/>
          <w:sz w:val="22"/>
          <w:szCs w:val="22"/>
        </w:rPr>
        <w:t xml:space="preserve">The Society shall adopt an annual mechanism to honor outstanding research and distinguished researchers in the field of gynecologic oncology, in order to incentivize research activity and reinforce a culture of scientific quality among members.</w:t>
      </w:r>
    </w:p>
    <w:p>
      <w:pPr>
        <w:pStyle w:val="Heading1"/>
        <w:keepNext/>
        <w:pBdr>
          <w:bottom w:val="single" w:color="B08D3E" w:sz="8" w:space="4"/>
        </w:pBdr>
        <w:spacing w:after="200" w:before="420"/>
      </w:pPr>
      <w:bookmarkStart w:name="sec1021" w:id="1"/>
      <w:r>
        <w:rPr>
          <w:rFonts w:ascii="Calibri" w:cs="Calibri" w:eastAsia="Calibri" w:hAnsi="Calibri"/>
          <w:b/>
          <w:bCs/>
          <w:color w:val="1F4E5F"/>
          <w:sz w:val="30"/>
          <w:szCs w:val="30"/>
        </w:rPr>
        <w:t xml:space="preserve">19. Review and Update</w:t>
      </w:r>
      <w:bookmarkEnd w:id="1"/>
    </w:p>
    <w:p>
      <w:pPr>
        <w:spacing w:after="160" w:line="300"/>
        <w:jc w:val="both"/>
      </w:pPr>
      <w:r>
        <w:rPr>
          <w:rFonts w:ascii="Calibri" w:cs="Calibri" w:eastAsia="Calibri" w:hAnsi="Calibri"/>
          <w:sz w:val="22"/>
          <w:szCs w:val="22"/>
        </w:rPr>
        <w:t xml:space="preserve">This policy shall be reviewed periodically every three years by the Scientific Committee, or whenever circumstances warrant (such as the issuance of new national regulations), and any substantive amendments shall be presented to the Board of Directors for approval prior to taking effect.</w:t>
      </w:r>
    </w:p>
    <w:p>
      <w:pPr>
        <w:pStyle w:val="Heading1"/>
        <w:keepNext/>
        <w:pBdr>
          <w:bottom w:val="single" w:color="B08D3E" w:sz="8" w:space="4"/>
        </w:pBdr>
        <w:spacing w:after="200" w:before="420"/>
      </w:pPr>
      <w:bookmarkStart w:name="sec1022" w:id="1"/>
      <w:r>
        <w:rPr>
          <w:rFonts w:ascii="Calibri" w:cs="Calibri" w:eastAsia="Calibri" w:hAnsi="Calibri"/>
          <w:b/>
          <w:bCs/>
          <w:color w:val="1F4E5F"/>
          <w:sz w:val="30"/>
          <w:szCs w:val="30"/>
        </w:rPr>
        <w:t xml:space="preserve">20. Approval and Effective Date</w:t>
      </w:r>
      <w:bookmarkEnd w:id="1"/>
    </w:p>
    <w:p>
      <w:pPr>
        <w:spacing w:after="160" w:line="300"/>
        <w:jc w:val="both"/>
      </w:pPr>
      <w:r>
        <w:rPr>
          <w:rFonts w:ascii="Calibri" w:cs="Calibri" w:eastAsia="Calibri" w:hAnsi="Calibri"/>
          <w:sz w:val="22"/>
          <w:szCs w:val="22"/>
        </w:rPr>
        <w:t xml:space="preserve">This policy shall take effect upon its approval by the Board of Directors of the Saudi Society of Gynecologic Oncology, and shall constitute an integral part of the Society's organizational bylaws.</w:t>
      </w:r>
    </w:p>
    <w:p>
      <w:pPr>
        <w:spacing w:before="400"/>
      </w:pPr>
    </w:p>
    <w:tbl>
      <w:tblPr>
        <w:tblW w:type="pct" w:w="100%"/>
        <w:tblBorders>
          <w:top w:val="single" w:color="BFD4DC" w:sz="4"/>
          <w:left w:val="single" w:color="BFD4DC" w:sz="4"/>
          <w:bottom w:val="single" w:color="BFD4DC" w:sz="4"/>
          <w:right w:val="single" w:color="BFD4DC" w:sz="4"/>
          <w:insideH w:val="single" w:color="BFD4DC" w:sz="4"/>
          <w:insideV w:val="single" w:color="BFD4DC" w:sz="4"/>
        </w:tblBorders>
      </w:tblPr>
      <w:tblGrid>
        <w:gridCol w:w="2600"/>
        <w:gridCol w:w="7000"/>
      </w:tblGrid>
      <w:tr>
        <w:tc>
          <w:tcPr>
            <w:tcW w:type="dxa" w:w="2600"/>
            <w:shd w:fill="E8F1F5" w:val="clear"/>
            <w:tcMar>
              <w:top w:type="dxa" w:w="100"/>
              <w:left w:type="dxa" w:w="150"/>
              <w:bottom w:type="dxa" w:w="100"/>
              <w:right w:type="dxa" w:w="150"/>
            </w:tcMar>
            <w:vAlign w:val="center"/>
          </w:tcPr>
          <w:p>
            <w:pPr>
              <w:jc w:val="left"/>
            </w:pPr>
            <w:r>
              <w:rPr>
                <w:rFonts w:ascii="Calibri" w:cs="Calibri" w:eastAsia="Calibri" w:hAnsi="Calibri"/>
                <w:b/>
                <w:bCs/>
                <w:color w:val="17394A"/>
                <w:sz w:val="20"/>
                <w:szCs w:val="20"/>
              </w:rPr>
              <w:t xml:space="preserve">Approved by the Chair of the Board of Directors</w:t>
            </w:r>
          </w:p>
        </w:tc>
        <w:tc>
          <w:tcPr>
            <w:tcW w:type="dxa" w:w="7000"/>
            <w:tcMar>
              <w:top w:type="dxa" w:w="100"/>
              <w:left w:type="dxa" w:w="150"/>
              <w:bottom w:type="dxa" w:w="100"/>
              <w:right w:type="dxa" w:w="150"/>
            </w:tcMar>
            <w:vAlign w:val="center"/>
          </w:tcPr>
          <w:p>
            <w:pPr>
              <w:jc w:val="left"/>
            </w:pPr>
            <w:r>
              <w:rPr>
                <w:rFonts w:ascii="Calibri" w:cs="Calibri" w:eastAsia="Calibri" w:hAnsi="Calibri"/>
                <w:sz w:val="20"/>
                <w:szCs w:val="20"/>
              </w:rPr>
              <w:t xml:space="preserve">Name / Signature / Date</w:t>
            </w:r>
          </w:p>
        </w:tc>
      </w:tr>
      <w:tr>
        <w:tc>
          <w:tcPr>
            <w:tcW w:type="dxa" w:w="2600"/>
            <w:shd w:fill="E8F1F5" w:val="clear"/>
            <w:tcMar>
              <w:top w:type="dxa" w:w="100"/>
              <w:left w:type="dxa" w:w="150"/>
              <w:bottom w:type="dxa" w:w="100"/>
              <w:right w:type="dxa" w:w="150"/>
            </w:tcMar>
            <w:vAlign w:val="center"/>
          </w:tcPr>
          <w:p>
            <w:pPr>
              <w:jc w:val="left"/>
            </w:pPr>
            <w:r>
              <w:rPr>
                <w:rFonts w:ascii="Calibri" w:cs="Calibri" w:eastAsia="Calibri" w:hAnsi="Calibri"/>
                <w:b/>
                <w:bCs/>
                <w:color w:val="17394A"/>
                <w:sz w:val="20"/>
                <w:szCs w:val="20"/>
              </w:rPr>
              <w:t xml:space="preserve">Approved by the Chair of the Scientific Committee</w:t>
            </w:r>
          </w:p>
        </w:tc>
        <w:tc>
          <w:tcPr>
            <w:tcW w:type="dxa" w:w="7000"/>
            <w:tcMar>
              <w:top w:type="dxa" w:w="100"/>
              <w:left w:type="dxa" w:w="150"/>
              <w:bottom w:type="dxa" w:w="100"/>
              <w:right w:type="dxa" w:w="150"/>
            </w:tcMar>
            <w:vAlign w:val="center"/>
          </w:tcPr>
          <w:p>
            <w:pPr>
              <w:jc w:val="left"/>
            </w:pPr>
            <w:r>
              <w:rPr>
                <w:rFonts w:ascii="Calibri" w:cs="Calibri" w:eastAsia="Calibri" w:hAnsi="Calibri"/>
                <w:sz w:val="20"/>
                <w:szCs w:val="20"/>
              </w:rPr>
              <w:t xml:space="preserve">Name / Signature / Date</w:t>
            </w:r>
          </w:p>
        </w:tc>
      </w:tr>
    </w:tbl>
    <w:sectPr>
      <w:headerReference w:type="default" r:id="rId7"/>
      <w:footerReference w:type="default" r:id="rId8"/>
      <w:pgSz w:w="11906" w:h="16838" w:orient="portrait"/>
      <w:pgMar w:top="1300" w:right="1134" w:bottom="1300" w:left="1134"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8"/>
        <w:szCs w:val="18"/>
      </w:rPr>
      <w:fldChar w:fldCharType="begin"/>
      <w:instrText xml:space="preserve">PAGE</w:instrText>
      <w:fldChar w:fldCharType="separate"/>
      <w:fldChar w:fldCharType="end"/>
    </w:r>
    <w:r>
      <w:rPr>
        <w:rFonts w:ascii="Calibri" w:cs="Calibri" w:eastAsia="Calibri" w:hAnsi="Calibri"/>
        <w:color w:val="777777"/>
        <w:sz w:val="18"/>
        <w:szCs w:val="18"/>
      </w:rPr>
      <w:t xml:space="preserve"> / </w:t>
    </w:r>
    <w:r>
      <w:rPr>
        <w:rFonts w:ascii="Calibri" w:cs="Calibri" w:eastAsia="Calibri" w:hAnsi="Calibri"/>
        <w:color w:val="777777"/>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jc w:val="center"/>
    </w:pPr>
    <w:r>
      <w:rPr>
        <w:rFonts w:ascii="Calibri" w:cs="Calibri" w:eastAsia="Calibri" w:hAnsi="Calibri"/>
        <w:color w:val="777777"/>
        <w:sz w:val="16"/>
        <w:szCs w:val="16"/>
      </w:rPr>
      <w:t xml:space="preserve">Research Policy — Saudi Society of Gynecologic Oncology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260"/>
      </w:pPr>
      <w:rPr>
        <w:color w:val="B08D3E"/>
      </w:rPr>
    </w:lvl>
    <w:lvl w:ilvl="1" w15:tentative="1">
      <w:start w:val="1"/>
      <w:numFmt w:val="bullet"/>
      <w:lvlText w:val="◦"/>
      <w:lvlJc w:val="left"/>
      <w:pPr>
        <w:ind w:left="1080" w:hanging="260"/>
      </w:pPr>
    </w:lvl>
  </w:abstractNum>
  <w:abstractNum w:abstractNumId="3" w15:restartNumberingAfterBreak="0">
    <w:multiLevelType w:val="hybridMultilevel"/>
    <w:lvl w:ilvl="0" w15:tentative="1">
      <w:start w:val="1"/>
      <w:numFmt w:val="decimal"/>
      <w:lvlText w:val="%1."/>
      <w:lvlJc w:val="left"/>
      <w:pPr>
        <w:ind w:left="720" w:hanging="320"/>
      </w:pPr>
    </w:lvl>
  </w:abstractNum>
  <w:abstractNum w:abstractNumId="4" w15:restartNumberingAfterBreak="0">
    <w:multiLevelType w:val="hybridMultilevel"/>
    <w:lvl w:ilvl="0" w15:tentative="1">
      <w:start w:val="1"/>
      <w:numFmt w:val="decimal"/>
      <w:lvlText w:val="%1."/>
      <w:lvlJc w:val="left"/>
      <w:pPr>
        <w:ind w:left="720" w:hanging="320"/>
      </w:pPr>
    </w:lvl>
  </w:abstractNum>
  <w:abstractNum w:abstractNumId="5" w15:restartNumberingAfterBreak="0">
    <w:multiLevelType w:val="hybridMultilevel"/>
    <w:lvl w:ilvl="0" w15:tentative="1">
      <w:start w:val="1"/>
      <w:numFmt w:val="decimal"/>
      <w:lvlText w:val="%1."/>
      <w:lvlJc w:val="left"/>
      <w:pPr>
        <w:ind w:left="720" w:hanging="320"/>
      </w:pPr>
    </w:lvl>
  </w:abstractNum>
  <w:abstractNum w:abstractNumId="6" w15:restartNumberingAfterBreak="0">
    <w:multiLevelType w:val="hybridMultilevel"/>
    <w:lvl w:ilvl="0" w15:tentative="1">
      <w:start w:val="1"/>
      <w:numFmt w:val="decimal"/>
      <w:lvlText w:val="%1."/>
      <w:lvlJc w:val="left"/>
      <w:pPr>
        <w:ind w:left="720" w:hanging="320"/>
      </w:pPr>
    </w:lvl>
  </w:abstractNum>
  <w:abstractNum w:abstractNumId="7" w15:restartNumberingAfterBreak="0">
    <w:multiLevelType w:val="hybridMultilevel"/>
    <w:lvl w:ilvl="0" w15:tentative="1">
      <w:start w:val="1"/>
      <w:numFmt w:val="decimal"/>
      <w:lvlText w:val="%1."/>
      <w:lvlJc w:val="left"/>
      <w:pPr>
        <w:ind w:left="720" w:hanging="320"/>
      </w:pPr>
    </w:lvl>
  </w:abstractNum>
  <w:abstractNum w:abstractNumId="8" w15:restartNumberingAfterBreak="0">
    <w:multiLevelType w:val="hybridMultilevel"/>
    <w:lvl w:ilvl="0" w15:tentative="1">
      <w:start w:val="1"/>
      <w:numFmt w:val="decimal"/>
      <w:lvlText w:val="%1."/>
      <w:lvlJc w:val="left"/>
      <w:pPr>
        <w:ind w:left="720" w:hanging="320"/>
      </w:pPr>
    </w:lvl>
  </w:abstractNum>
  <w:abstractNum w:abstractNumId="9" w15:restartNumberingAfterBreak="0">
    <w:multiLevelType w:val="hybridMultilevel"/>
    <w:lvl w:ilvl="0" w15:tentative="1">
      <w:start w:val="1"/>
      <w:numFmt w:val="decimal"/>
      <w:lvlText w:val="%1."/>
      <w:lvlJc w:val="left"/>
      <w:pPr>
        <w:ind w:left="720" w:hanging="320"/>
      </w:pPr>
    </w:lvl>
  </w:abstractNum>
  <w:abstractNum w:abstractNumId="10" w15:restartNumberingAfterBreak="0">
    <w:multiLevelType w:val="hybridMultilevel"/>
    <w:lvl w:ilvl="0" w15:tentative="1">
      <w:start w:val="1"/>
      <w:numFmt w:val="decimal"/>
      <w:lvlText w:val="%1."/>
      <w:lvlJc w:val="left"/>
      <w:pPr>
        <w:ind w:left="720" w:hanging="32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2026-08-08T13:49:01.018Z</dcterms:created>
  <dcterms:modified xsi:type="dcterms:W3CDTF">2026-08-08T13:49:01.019Z</dcterms:modified>
</cp:coreProperties>
</file>

<file path=docProps/custom.xml><?xml version="1.0" encoding="utf-8"?>
<Properties xmlns="http://schemas.openxmlformats.org/officeDocument/2006/custom-properties" xmlns:vt="http://schemas.openxmlformats.org/officeDocument/2006/docPropsVTypes"/>
</file>